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65D27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9" w:type="dxa"/>
          </w:tcPr>
          <w:p w14:paraId="62267471">
            <w:pPr>
              <w:pStyle w:val="19"/>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784E1041">
            <w:pPr>
              <w:pStyle w:val="19"/>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65.020.</w:t>
            </w:r>
            <w:r>
              <w:rPr>
                <w:rFonts w:hint="eastAsia" w:ascii="黑体" w:hAnsi="黑体" w:eastAsia="黑体"/>
                <w:sz w:val="21"/>
                <w:szCs w:val="21"/>
              </w:rPr>
              <w:t>20</w:t>
            </w:r>
            <w:r>
              <w:rPr>
                <w:rFonts w:ascii="黑体" w:hAnsi="黑体" w:eastAsia="黑体"/>
                <w:sz w:val="21"/>
                <w:szCs w:val="21"/>
              </w:rPr>
              <w:fldChar w:fldCharType="end"/>
            </w:r>
            <w:bookmarkEnd w:id="0"/>
          </w:p>
        </w:tc>
      </w:tr>
      <w:tr w14:paraId="35DC5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56D71C6E">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156A9B81">
            <w:pPr>
              <w:pStyle w:val="19"/>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B 05</w:t>
            </w:r>
            <w:r>
              <w:rPr>
                <w:rFonts w:ascii="黑体" w:hAnsi="黑体" w:eastAsia="黑体"/>
                <w:sz w:val="21"/>
                <w:szCs w:val="21"/>
              </w:rPr>
              <w:fldChar w:fldCharType="end"/>
            </w:r>
            <w:bookmarkEnd w:id="1"/>
          </w:p>
        </w:tc>
      </w:tr>
    </w:tbl>
    <w:tbl>
      <w:tblPr>
        <w:tblStyle w:val="29"/>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79E06226">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6193B054">
            <w:pPr>
              <w:pStyle w:val="51"/>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46</w:t>
            </w:r>
            <w:r>
              <w:fldChar w:fldCharType="end"/>
            </w:r>
            <w:bookmarkEnd w:id="3"/>
          </w:p>
        </w:tc>
      </w:tr>
    </w:tbl>
    <w:p w14:paraId="302251A1">
      <w:pPr>
        <w:pStyle w:val="52"/>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海南省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2FA250DA">
      <w:pPr>
        <w:pStyle w:val="197"/>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t>46</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rFonts w:hint="eastAsia"/>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t>XXXX</w:t>
      </w:r>
      <w:r>
        <w:fldChar w:fldCharType="end"/>
      </w:r>
      <w:bookmarkEnd w:id="7"/>
    </w:p>
    <w:p w14:paraId="010479FD">
      <w:pPr>
        <w:pStyle w:val="198"/>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23C89AA1">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61E0E369">
      <w:pPr>
        <w:pStyle w:val="52"/>
        <w:framePr w:w="9639" w:h="6976" w:hRule="exact" w:hSpace="0" w:vSpace="0" w:wrap="around" w:hAnchor="page" w:y="6408"/>
        <w:jc w:val="center"/>
        <w:rPr>
          <w:rFonts w:ascii="黑体" w:hAnsi="黑体" w:eastAsia="黑体"/>
          <w:b w:val="0"/>
          <w:bCs w:val="0"/>
          <w:w w:val="100"/>
        </w:rPr>
      </w:pPr>
    </w:p>
    <w:p w14:paraId="0B811F15">
      <w:pPr>
        <w:pStyle w:val="199"/>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农产品全产业链生产规范 菠萝蜜</w:t>
      </w:r>
      <w:r>
        <w:fldChar w:fldCharType="end"/>
      </w:r>
      <w:bookmarkEnd w:id="9"/>
    </w:p>
    <w:p w14:paraId="73922205">
      <w:pPr>
        <w:framePr w:w="9639" w:h="6974" w:hRule="exact" w:wrap="around" w:vAnchor="page" w:hAnchor="page" w:x="1419" w:y="6408" w:anchorLock="1"/>
        <w:ind w:left="-1418"/>
      </w:pPr>
    </w:p>
    <w:p w14:paraId="48301F43">
      <w:pPr>
        <w:pStyle w:val="127"/>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p>
    <w:p w14:paraId="792C3A82">
      <w:pPr>
        <w:pStyle w:val="127"/>
        <w:framePr w:w="9639" w:h="6974" w:hRule="exact" w:wrap="around" w:vAnchor="page" w:hAnchor="page" w:x="1419" w:y="6408" w:anchorLock="1"/>
        <w:textAlignment w:val="bottom"/>
        <w:rPr>
          <w:rFonts w:eastAsia="黑体"/>
          <w:szCs w:val="28"/>
        </w:rPr>
      </w:pPr>
      <w:r>
        <w:rPr>
          <w:rFonts w:hint="eastAsia" w:eastAsia="黑体"/>
          <w:szCs w:val="28"/>
        </w:rPr>
        <w:t xml:space="preserve">Technical specification for the production of the whole industrial </w:t>
      </w:r>
    </w:p>
    <w:p w14:paraId="30CD8005">
      <w:pPr>
        <w:pStyle w:val="127"/>
        <w:framePr w:w="9639" w:h="6974" w:hRule="exact" w:wrap="around" w:vAnchor="page" w:hAnchor="page" w:x="1419" w:y="6408" w:anchorLock="1"/>
        <w:textAlignment w:val="bottom"/>
        <w:rPr>
          <w:rFonts w:eastAsia="黑体"/>
          <w:szCs w:val="28"/>
        </w:rPr>
      </w:pPr>
      <w:r>
        <w:rPr>
          <w:rFonts w:hint="eastAsia" w:eastAsia="黑体"/>
          <w:szCs w:val="28"/>
        </w:rPr>
        <w:t>chain—Jackfruit</w:t>
      </w:r>
      <w:r>
        <w:rPr>
          <w:rFonts w:eastAsia="黑体"/>
          <w:szCs w:val="28"/>
        </w:rPr>
        <w:fldChar w:fldCharType="end"/>
      </w:r>
      <w:bookmarkEnd w:id="10"/>
    </w:p>
    <w:p w14:paraId="56B4FDC8">
      <w:pPr>
        <w:framePr w:w="9639" w:h="6974" w:hRule="exact" w:wrap="around" w:vAnchor="page" w:hAnchor="page" w:x="1419" w:y="6408" w:anchorLock="1"/>
        <w:spacing w:line="760" w:lineRule="exact"/>
        <w:ind w:left="-1418"/>
      </w:pPr>
    </w:p>
    <w:p w14:paraId="7878C3CF">
      <w:pPr>
        <w:pStyle w:val="127"/>
        <w:framePr w:w="9639" w:h="6974" w:hRule="exact" w:wrap="around" w:vAnchor="page" w:hAnchor="page" w:x="1419" w:y="6408" w:anchorLock="1"/>
        <w:textAlignment w:val="bottom"/>
        <w:rPr>
          <w:rFonts w:eastAsia="黑体"/>
          <w:szCs w:val="28"/>
        </w:rPr>
      </w:pPr>
    </w:p>
    <w:p w14:paraId="4BFCDA74">
      <w:pPr>
        <w:pStyle w:val="127"/>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3E557087">
      <w:pPr>
        <w:pStyle w:val="127"/>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rFonts w:hint="eastAsia"/>
          <w:sz w:val="21"/>
          <w:szCs w:val="28"/>
        </w:rPr>
        <w:t>（征求意见稿完成时间：2025-1</w:t>
      </w:r>
      <w:r>
        <w:rPr>
          <w:rFonts w:hint="eastAsia"/>
          <w:sz w:val="21"/>
          <w:szCs w:val="28"/>
          <w:lang w:val="en-US" w:eastAsia="zh-CN"/>
        </w:rPr>
        <w:t>1</w:t>
      </w:r>
      <w:r>
        <w:rPr>
          <w:rFonts w:hint="eastAsia"/>
          <w:sz w:val="21"/>
          <w:szCs w:val="28"/>
        </w:rPr>
        <w:t>-</w:t>
      </w:r>
      <w:r>
        <w:rPr>
          <w:rFonts w:hint="eastAsia"/>
          <w:sz w:val="21"/>
          <w:szCs w:val="28"/>
          <w:lang w:val="en-US" w:eastAsia="zh-CN"/>
        </w:rPr>
        <w:t>20</w:t>
      </w:r>
      <w:r>
        <w:rPr>
          <w:rFonts w:hint="eastAsia"/>
          <w:sz w:val="21"/>
          <w:szCs w:val="28"/>
        </w:rPr>
        <w:t>）</w:t>
      </w:r>
      <w:r>
        <w:rPr>
          <w:sz w:val="21"/>
          <w:szCs w:val="28"/>
        </w:rPr>
        <w:fldChar w:fldCharType="end"/>
      </w:r>
      <w:bookmarkEnd w:id="12"/>
    </w:p>
    <w:p w14:paraId="6ECAC375">
      <w:pPr>
        <w:pStyle w:val="127"/>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73B9463A">
      <w:pPr>
        <w:pStyle w:val="195"/>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25C82079">
      <w:pPr>
        <w:pStyle w:val="196"/>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0992901C">
      <w:pPr>
        <w:pStyle w:val="153"/>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海南省市场监督管理局</w:t>
      </w:r>
      <w:r>
        <w:rPr>
          <w:rFonts w:hAnsi="黑体"/>
          <w:w w:val="100"/>
          <w:sz w:val="28"/>
        </w:rPr>
        <w:fldChar w:fldCharType="end"/>
      </w:r>
      <w:bookmarkEnd w:id="20"/>
      <w:r>
        <w:rPr>
          <w:rFonts w:ascii="Times New Roman"/>
          <w:w w:val="100"/>
          <w:sz w:val="28"/>
        </w:rPr>
        <w:t>  </w:t>
      </w:r>
      <w:r>
        <w:rPr>
          <w:rStyle w:val="231"/>
          <w:rFonts w:hint="eastAsia" w:hAnsi="黑体"/>
          <w:position w:val="0"/>
        </w:rPr>
        <w:t>发</w:t>
      </w:r>
      <w:r>
        <w:rPr>
          <w:rStyle w:val="231"/>
          <w:rFonts w:hint="eastAsia" w:hAnsi="黑体"/>
          <w:spacing w:val="0"/>
          <w:position w:val="0"/>
        </w:rPr>
        <w:t>布</w:t>
      </w:r>
    </w:p>
    <w:p w14:paraId="56AF46F4">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1D41F51B">
      <w:pPr>
        <w:pStyle w:val="93"/>
        <w:spacing w:after="360"/>
      </w:pPr>
      <w:bookmarkStart w:id="21" w:name="BookMark2"/>
      <w:bookmarkStart w:id="242" w:name="_GoBack"/>
      <w:bookmarkEnd w:id="242"/>
      <w:r>
        <w:rPr>
          <w:rFonts w:hint="eastAsia"/>
          <w:spacing w:val="320"/>
        </w:rPr>
        <w:t>目</w:t>
      </w:r>
      <w:r>
        <w:rPr>
          <w:rFonts w:hint="eastAsia"/>
        </w:rPr>
        <w:t>次</w:t>
      </w:r>
    </w:p>
    <w:p w14:paraId="0664C6F5">
      <w:pPr>
        <w:pStyle w:val="20"/>
        <w:tabs>
          <w:tab w:val="right" w:leader="dot" w:pos="9354"/>
        </w:tabs>
        <w:rPr>
          <w:rFonts w:hAnsi="宋体" w:cs="宋体"/>
        </w:rPr>
      </w:pPr>
      <w:r>
        <w:fldChar w:fldCharType="begin"/>
      </w:r>
      <w:r>
        <w:instrText xml:space="preserve"> HYPERLINK \l "_Toc26957" </w:instrText>
      </w:r>
      <w:r>
        <w:fldChar w:fldCharType="separate"/>
      </w:r>
      <w:r>
        <w:rPr>
          <w:rFonts w:hint="eastAsia" w:hAnsi="宋体" w:cs="宋体"/>
        </w:rPr>
        <w:t>前言</w:t>
      </w:r>
      <w:r>
        <w:rPr>
          <w:rFonts w:hint="eastAsia" w:hAnsi="宋体" w:cs="宋体"/>
        </w:rPr>
        <w:tab/>
      </w:r>
      <w:r>
        <w:rPr>
          <w:rFonts w:hint="eastAsia" w:hAnsi="宋体" w:cs="宋体"/>
        </w:rPr>
        <w:fldChar w:fldCharType="end"/>
      </w:r>
      <w:r>
        <w:rPr>
          <w:rFonts w:hint="eastAsia" w:hAnsi="宋体" w:cs="宋体"/>
        </w:rPr>
        <w:t>V</w:t>
      </w:r>
    </w:p>
    <w:p w14:paraId="633156AE">
      <w:pPr>
        <w:pStyle w:val="20"/>
        <w:tabs>
          <w:tab w:val="right" w:leader="dot" w:pos="9354"/>
        </w:tabs>
        <w:rPr>
          <w:rFonts w:hAnsi="宋体" w:cs="宋体"/>
        </w:rPr>
      </w:pPr>
      <w:r>
        <w:rPr>
          <w:rFonts w:hint="eastAsia" w:hAnsi="宋体" w:cs="宋体"/>
          <w:kern w:val="0"/>
          <w:lang w:bidi="ar"/>
        </w:rPr>
        <w:fldChar w:fldCharType="begin"/>
      </w:r>
      <w:r>
        <w:rPr>
          <w:rFonts w:hint="eastAsia" w:hAnsi="宋体" w:cs="宋体"/>
          <w:kern w:val="0"/>
          <w:lang w:bidi="ar"/>
        </w:rPr>
        <w:instrText xml:space="preserve">TOC \o "1-3" \h \u </w:instrText>
      </w:r>
      <w:r>
        <w:rPr>
          <w:rFonts w:hint="eastAsia" w:hAnsi="宋体" w:cs="宋体"/>
          <w:kern w:val="0"/>
          <w:lang w:bidi="ar"/>
        </w:rPr>
        <w:fldChar w:fldCharType="separate"/>
      </w:r>
      <w:r>
        <w:fldChar w:fldCharType="begin"/>
      </w:r>
      <w:r>
        <w:instrText xml:space="preserve"> HYPERLINK \l "_Toc18529" </w:instrText>
      </w:r>
      <w:r>
        <w:fldChar w:fldCharType="separate"/>
      </w:r>
      <w:r>
        <w:rPr>
          <w:rFonts w:hint="eastAsia" w:hAnsi="宋体" w:cs="宋体"/>
        </w:rPr>
        <w:t>1</w:t>
      </w:r>
      <w:r>
        <w:rPr>
          <w:rFonts w:hint="eastAsia" w:hAnsi="宋体" w:cs="宋体"/>
          <w:lang w:eastAsia="zh-CN"/>
        </w:rPr>
        <w:t xml:space="preserve"> </w:t>
      </w:r>
      <w:r>
        <w:rPr>
          <w:rFonts w:hint="eastAsia" w:hAnsi="宋体" w:cs="宋体"/>
        </w:rPr>
        <w:t>范围</w:t>
      </w:r>
      <w:r>
        <w:rPr>
          <w:rFonts w:hint="eastAsia" w:hAnsi="宋体" w:cs="宋体"/>
        </w:rPr>
        <w:tab/>
      </w:r>
      <w:r>
        <w:rPr>
          <w:rFonts w:hint="eastAsia" w:hAnsi="宋体" w:cs="宋体"/>
        </w:rPr>
        <w:fldChar w:fldCharType="begin"/>
      </w:r>
      <w:r>
        <w:rPr>
          <w:rFonts w:hint="eastAsia" w:hAnsi="宋体" w:cs="宋体"/>
        </w:rPr>
        <w:instrText xml:space="preserve"> PAGEREF _Toc18529 \h </w:instrText>
      </w:r>
      <w:r>
        <w:rPr>
          <w:rFonts w:hint="eastAsia" w:hAnsi="宋体" w:cs="宋体"/>
        </w:rPr>
        <w:fldChar w:fldCharType="separate"/>
      </w:r>
      <w:r>
        <w:rPr>
          <w:rFonts w:hint="eastAsia" w:hAnsi="宋体" w:cs="宋体"/>
        </w:rPr>
        <w:t>5</w:t>
      </w:r>
      <w:r>
        <w:rPr>
          <w:rFonts w:hint="eastAsia" w:hAnsi="宋体" w:cs="宋体"/>
        </w:rPr>
        <w:fldChar w:fldCharType="end"/>
      </w:r>
      <w:r>
        <w:rPr>
          <w:rFonts w:hint="eastAsia" w:hAnsi="宋体" w:cs="宋体"/>
        </w:rPr>
        <w:fldChar w:fldCharType="end"/>
      </w:r>
    </w:p>
    <w:p w14:paraId="76D73B75">
      <w:pPr>
        <w:pStyle w:val="20"/>
        <w:tabs>
          <w:tab w:val="right" w:leader="dot" w:pos="9354"/>
        </w:tabs>
        <w:rPr>
          <w:rFonts w:hAnsi="宋体" w:cs="宋体"/>
        </w:rPr>
      </w:pPr>
      <w:r>
        <w:fldChar w:fldCharType="begin"/>
      </w:r>
      <w:r>
        <w:instrText xml:space="preserve"> HYPERLINK \l "_Toc13633" </w:instrText>
      </w:r>
      <w:r>
        <w:fldChar w:fldCharType="separate"/>
      </w:r>
      <w:r>
        <w:rPr>
          <w:rFonts w:hint="eastAsia" w:hAnsi="宋体" w:cs="宋体"/>
        </w:rPr>
        <w:t>2</w:t>
      </w:r>
      <w:r>
        <w:rPr>
          <w:rFonts w:hint="eastAsia" w:hAnsi="宋体" w:cs="宋体"/>
          <w:lang w:eastAsia="zh-CN"/>
        </w:rPr>
        <w:t xml:space="preserve"> </w:t>
      </w:r>
      <w:r>
        <w:rPr>
          <w:rFonts w:hint="eastAsia" w:hAnsi="宋体" w:cs="宋体"/>
        </w:rPr>
        <w:t>规范性引用文件</w:t>
      </w:r>
      <w:r>
        <w:rPr>
          <w:rFonts w:hint="eastAsia" w:hAnsi="宋体" w:cs="宋体"/>
        </w:rPr>
        <w:tab/>
      </w:r>
      <w:r>
        <w:rPr>
          <w:rFonts w:hint="eastAsia" w:hAnsi="宋体" w:cs="宋体"/>
        </w:rPr>
        <w:fldChar w:fldCharType="begin"/>
      </w:r>
      <w:r>
        <w:rPr>
          <w:rFonts w:hint="eastAsia" w:hAnsi="宋体" w:cs="宋体"/>
        </w:rPr>
        <w:instrText xml:space="preserve"> PAGEREF _Toc13633 \h </w:instrText>
      </w:r>
      <w:r>
        <w:rPr>
          <w:rFonts w:hint="eastAsia" w:hAnsi="宋体" w:cs="宋体"/>
        </w:rPr>
        <w:fldChar w:fldCharType="separate"/>
      </w:r>
      <w:r>
        <w:rPr>
          <w:rFonts w:hint="eastAsia" w:hAnsi="宋体" w:cs="宋体"/>
        </w:rPr>
        <w:t>5</w:t>
      </w:r>
      <w:r>
        <w:rPr>
          <w:rFonts w:hint="eastAsia" w:hAnsi="宋体" w:cs="宋体"/>
        </w:rPr>
        <w:fldChar w:fldCharType="end"/>
      </w:r>
      <w:r>
        <w:rPr>
          <w:rFonts w:hint="eastAsia" w:hAnsi="宋体" w:cs="宋体"/>
        </w:rPr>
        <w:fldChar w:fldCharType="end"/>
      </w:r>
    </w:p>
    <w:p w14:paraId="3A10E713">
      <w:pPr>
        <w:pStyle w:val="20"/>
        <w:tabs>
          <w:tab w:val="right" w:leader="dot" w:pos="9354"/>
        </w:tabs>
        <w:rPr>
          <w:rFonts w:hAnsi="宋体" w:cs="宋体"/>
        </w:rPr>
      </w:pPr>
      <w:r>
        <w:fldChar w:fldCharType="begin"/>
      </w:r>
      <w:r>
        <w:instrText xml:space="preserve"> HYPERLINK \l "_Toc12178" </w:instrText>
      </w:r>
      <w:r>
        <w:fldChar w:fldCharType="separate"/>
      </w:r>
      <w:r>
        <w:rPr>
          <w:rFonts w:hint="eastAsia" w:hAnsi="宋体" w:cs="宋体"/>
        </w:rPr>
        <w:t>3</w:t>
      </w:r>
      <w:r>
        <w:rPr>
          <w:rFonts w:hint="eastAsia" w:hAnsi="宋体" w:cs="宋体"/>
          <w:lang w:eastAsia="zh-CN"/>
        </w:rPr>
        <w:t xml:space="preserve"> </w:t>
      </w:r>
      <w:r>
        <w:rPr>
          <w:rFonts w:hint="eastAsia" w:hAnsi="宋体" w:cs="宋体"/>
        </w:rPr>
        <w:t>术语和定义</w:t>
      </w:r>
      <w:r>
        <w:rPr>
          <w:rFonts w:hint="eastAsia" w:hAnsi="宋体" w:cs="宋体"/>
        </w:rPr>
        <w:tab/>
      </w:r>
      <w:r>
        <w:rPr>
          <w:rFonts w:hint="eastAsia" w:hAnsi="宋体" w:cs="宋体"/>
          <w:lang w:val="en-US" w:eastAsia="zh-CN"/>
        </w:rPr>
        <w:t>6</w:t>
      </w:r>
      <w:r>
        <w:rPr>
          <w:rFonts w:hint="eastAsia" w:hAnsi="宋体" w:cs="宋体"/>
        </w:rPr>
        <w:fldChar w:fldCharType="end"/>
      </w:r>
    </w:p>
    <w:p w14:paraId="357D8936">
      <w:pPr>
        <w:pStyle w:val="20"/>
        <w:tabs>
          <w:tab w:val="right" w:leader="dot" w:pos="9354"/>
        </w:tabs>
        <w:rPr>
          <w:rFonts w:hAnsi="宋体" w:cs="宋体"/>
        </w:rPr>
      </w:pPr>
      <w:r>
        <w:fldChar w:fldCharType="begin"/>
      </w:r>
      <w:r>
        <w:instrText xml:space="preserve"> HYPERLINK \l "_Toc31227" </w:instrText>
      </w:r>
      <w:r>
        <w:fldChar w:fldCharType="separate"/>
      </w:r>
      <w:r>
        <w:rPr>
          <w:rFonts w:hint="eastAsia" w:hAnsi="宋体" w:cs="宋体"/>
        </w:rPr>
        <w:t>4</w:t>
      </w:r>
      <w:r>
        <w:rPr>
          <w:rFonts w:hint="eastAsia" w:hAnsi="宋体" w:cs="宋体"/>
          <w:lang w:eastAsia="zh-CN"/>
        </w:rPr>
        <w:t xml:space="preserve"> </w:t>
      </w:r>
      <w:r>
        <w:rPr>
          <w:rFonts w:hint="eastAsia" w:hAnsi="宋体" w:cs="宋体"/>
        </w:rPr>
        <w:t>产地环境</w:t>
      </w:r>
      <w:r>
        <w:rPr>
          <w:rFonts w:hint="eastAsia" w:hAnsi="宋体" w:cs="宋体"/>
        </w:rPr>
        <w:tab/>
      </w:r>
      <w:r>
        <w:rPr>
          <w:rFonts w:hint="eastAsia" w:hAnsi="宋体" w:cs="宋体"/>
        </w:rPr>
        <w:fldChar w:fldCharType="begin"/>
      </w:r>
      <w:r>
        <w:rPr>
          <w:rFonts w:hint="eastAsia" w:hAnsi="宋体" w:cs="宋体"/>
        </w:rPr>
        <w:instrText xml:space="preserve"> PAGEREF _Toc31227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2C05B722">
      <w:pPr>
        <w:pStyle w:val="25"/>
        <w:tabs>
          <w:tab w:val="right" w:leader="dot" w:pos="9354"/>
          <w:tab w:val="clear" w:pos="9344"/>
        </w:tabs>
        <w:rPr>
          <w:rFonts w:hAnsi="宋体" w:cs="宋体"/>
        </w:rPr>
      </w:pPr>
      <w:r>
        <w:fldChar w:fldCharType="begin"/>
      </w:r>
      <w:r>
        <w:instrText xml:space="preserve"> HYPERLINK \l "_Toc14876" </w:instrText>
      </w:r>
      <w:r>
        <w:fldChar w:fldCharType="separate"/>
      </w:r>
      <w:r>
        <w:rPr>
          <w:rFonts w:hint="eastAsia" w:hAnsi="宋体" w:cs="宋体"/>
          <w:kern w:val="0"/>
          <w:lang w:bidi="ar"/>
        </w:rPr>
        <w:t>4.1</w:t>
      </w:r>
      <w:r>
        <w:rPr>
          <w:rFonts w:hint="eastAsia" w:hAnsi="宋体" w:cs="宋体"/>
          <w:kern w:val="0"/>
          <w:lang w:eastAsia="zh-CN" w:bidi="ar"/>
        </w:rPr>
        <w:t xml:space="preserve"> </w:t>
      </w:r>
      <w:r>
        <w:rPr>
          <w:rFonts w:hint="eastAsia" w:hAnsi="宋体" w:cs="宋体"/>
          <w:kern w:val="0"/>
          <w:lang w:bidi="ar"/>
        </w:rPr>
        <w:t>气候条件</w:t>
      </w:r>
      <w:r>
        <w:rPr>
          <w:rFonts w:hint="eastAsia" w:hAnsi="宋体" w:cs="宋体"/>
        </w:rPr>
        <w:tab/>
      </w:r>
      <w:r>
        <w:rPr>
          <w:rFonts w:hint="eastAsia" w:hAnsi="宋体" w:cs="宋体"/>
        </w:rPr>
        <w:fldChar w:fldCharType="begin"/>
      </w:r>
      <w:r>
        <w:rPr>
          <w:rFonts w:hint="eastAsia" w:hAnsi="宋体" w:cs="宋体"/>
        </w:rPr>
        <w:instrText xml:space="preserve"> PAGEREF _Toc14876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724F5702">
      <w:pPr>
        <w:pStyle w:val="25"/>
        <w:tabs>
          <w:tab w:val="right" w:leader="dot" w:pos="9354"/>
          <w:tab w:val="clear" w:pos="9344"/>
        </w:tabs>
        <w:rPr>
          <w:rFonts w:hAnsi="宋体" w:cs="宋体"/>
        </w:rPr>
      </w:pPr>
      <w:r>
        <w:fldChar w:fldCharType="begin"/>
      </w:r>
      <w:r>
        <w:instrText xml:space="preserve"> HYPERLINK \l "_Toc31063" </w:instrText>
      </w:r>
      <w:r>
        <w:fldChar w:fldCharType="separate"/>
      </w:r>
      <w:r>
        <w:rPr>
          <w:rFonts w:hint="eastAsia" w:hAnsi="宋体" w:cs="宋体"/>
          <w:kern w:val="0"/>
          <w:lang w:bidi="ar"/>
        </w:rPr>
        <w:t>4.2</w:t>
      </w:r>
      <w:r>
        <w:rPr>
          <w:rFonts w:hint="eastAsia" w:hAnsi="宋体" w:cs="宋体"/>
          <w:kern w:val="0"/>
          <w:lang w:eastAsia="zh-CN" w:bidi="ar"/>
        </w:rPr>
        <w:t xml:space="preserve"> </w:t>
      </w:r>
      <w:r>
        <w:rPr>
          <w:rFonts w:hint="eastAsia" w:hAnsi="宋体" w:cs="宋体"/>
          <w:kern w:val="0"/>
          <w:lang w:bidi="ar"/>
        </w:rPr>
        <w:t>立地条件</w:t>
      </w:r>
      <w:r>
        <w:rPr>
          <w:rFonts w:hint="eastAsia" w:hAnsi="宋体" w:cs="宋体"/>
        </w:rPr>
        <w:tab/>
      </w:r>
      <w:r>
        <w:rPr>
          <w:rFonts w:hint="eastAsia" w:hAnsi="宋体" w:cs="宋体"/>
        </w:rPr>
        <w:fldChar w:fldCharType="begin"/>
      </w:r>
      <w:r>
        <w:rPr>
          <w:rFonts w:hint="eastAsia" w:hAnsi="宋体" w:cs="宋体"/>
        </w:rPr>
        <w:instrText xml:space="preserve"> PAGEREF _Toc31063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68C9E8C0">
      <w:pPr>
        <w:pStyle w:val="25"/>
        <w:tabs>
          <w:tab w:val="right" w:leader="dot" w:pos="9354"/>
          <w:tab w:val="clear" w:pos="9344"/>
        </w:tabs>
        <w:rPr>
          <w:rFonts w:hAnsi="宋体" w:cs="宋体"/>
        </w:rPr>
      </w:pPr>
      <w:r>
        <w:fldChar w:fldCharType="begin"/>
      </w:r>
      <w:r>
        <w:instrText xml:space="preserve"> HYPERLINK \l "_Toc25537" </w:instrText>
      </w:r>
      <w:r>
        <w:fldChar w:fldCharType="separate"/>
      </w:r>
      <w:r>
        <w:rPr>
          <w:rFonts w:hint="eastAsia" w:hAnsi="宋体" w:cs="宋体"/>
          <w:kern w:val="0"/>
          <w:lang w:bidi="ar"/>
        </w:rPr>
        <w:t>4.3</w:t>
      </w:r>
      <w:r>
        <w:rPr>
          <w:rFonts w:hint="eastAsia" w:hAnsi="宋体" w:cs="宋体"/>
          <w:kern w:val="0"/>
          <w:lang w:eastAsia="zh-CN" w:bidi="ar"/>
        </w:rPr>
        <w:t xml:space="preserve"> </w:t>
      </w:r>
      <w:r>
        <w:rPr>
          <w:rFonts w:hint="eastAsia" w:hAnsi="宋体" w:cs="宋体"/>
          <w:kern w:val="0"/>
          <w:lang w:bidi="ar"/>
        </w:rPr>
        <w:t>土壤质量</w:t>
      </w:r>
      <w:r>
        <w:rPr>
          <w:rFonts w:hint="eastAsia" w:hAnsi="宋体" w:cs="宋体"/>
        </w:rPr>
        <w:tab/>
      </w:r>
      <w:r>
        <w:rPr>
          <w:rFonts w:hint="eastAsia" w:hAnsi="宋体" w:cs="宋体"/>
        </w:rPr>
        <w:fldChar w:fldCharType="begin"/>
      </w:r>
      <w:r>
        <w:rPr>
          <w:rFonts w:hint="eastAsia" w:hAnsi="宋体" w:cs="宋体"/>
        </w:rPr>
        <w:instrText xml:space="preserve"> PAGEREF _Toc25537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24F305DD">
      <w:pPr>
        <w:pStyle w:val="25"/>
        <w:tabs>
          <w:tab w:val="right" w:leader="dot" w:pos="9354"/>
          <w:tab w:val="clear" w:pos="9344"/>
        </w:tabs>
        <w:rPr>
          <w:rFonts w:hAnsi="宋体" w:cs="宋体"/>
        </w:rPr>
      </w:pPr>
      <w:r>
        <w:fldChar w:fldCharType="begin"/>
      </w:r>
      <w:r>
        <w:instrText xml:space="preserve"> HYPERLINK \l "_Toc30567" </w:instrText>
      </w:r>
      <w:r>
        <w:fldChar w:fldCharType="separate"/>
      </w:r>
      <w:r>
        <w:rPr>
          <w:rFonts w:hint="eastAsia" w:hAnsi="宋体" w:cs="宋体"/>
          <w:kern w:val="0"/>
          <w:lang w:bidi="ar"/>
        </w:rPr>
        <w:t>4.4</w:t>
      </w:r>
      <w:r>
        <w:rPr>
          <w:rFonts w:hint="eastAsia" w:hAnsi="宋体" w:cs="宋体"/>
          <w:kern w:val="0"/>
          <w:lang w:eastAsia="zh-CN" w:bidi="ar"/>
        </w:rPr>
        <w:t xml:space="preserve"> </w:t>
      </w:r>
      <w:r>
        <w:rPr>
          <w:rFonts w:hint="eastAsia" w:hAnsi="宋体" w:cs="宋体"/>
          <w:kern w:val="0"/>
          <w:lang w:bidi="ar"/>
        </w:rPr>
        <w:t>空气质量</w:t>
      </w:r>
      <w:r>
        <w:rPr>
          <w:rFonts w:hint="eastAsia" w:hAnsi="宋体" w:cs="宋体"/>
        </w:rPr>
        <w:tab/>
      </w:r>
      <w:r>
        <w:rPr>
          <w:rFonts w:hint="eastAsia" w:hAnsi="宋体" w:cs="宋体"/>
        </w:rPr>
        <w:fldChar w:fldCharType="begin"/>
      </w:r>
      <w:r>
        <w:rPr>
          <w:rFonts w:hint="eastAsia" w:hAnsi="宋体" w:cs="宋体"/>
        </w:rPr>
        <w:instrText xml:space="preserve"> PAGEREF _Toc30567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1A34A948">
      <w:pPr>
        <w:pStyle w:val="25"/>
        <w:tabs>
          <w:tab w:val="right" w:leader="dot" w:pos="9354"/>
          <w:tab w:val="clear" w:pos="9344"/>
        </w:tabs>
        <w:rPr>
          <w:rFonts w:hAnsi="宋体" w:cs="宋体"/>
        </w:rPr>
      </w:pPr>
      <w:r>
        <w:fldChar w:fldCharType="begin"/>
      </w:r>
      <w:r>
        <w:instrText xml:space="preserve"> HYPERLINK \l "_Toc8759" </w:instrText>
      </w:r>
      <w:r>
        <w:fldChar w:fldCharType="separate"/>
      </w:r>
      <w:r>
        <w:rPr>
          <w:rFonts w:hint="eastAsia" w:hAnsi="宋体" w:cs="宋体"/>
          <w:kern w:val="0"/>
          <w:lang w:bidi="ar"/>
        </w:rPr>
        <w:t>4.5</w:t>
      </w:r>
      <w:r>
        <w:rPr>
          <w:rFonts w:hint="eastAsia" w:hAnsi="宋体" w:cs="宋体"/>
          <w:kern w:val="0"/>
          <w:lang w:eastAsia="zh-CN" w:bidi="ar"/>
        </w:rPr>
        <w:t xml:space="preserve"> </w:t>
      </w:r>
      <w:r>
        <w:rPr>
          <w:rFonts w:hint="eastAsia" w:hAnsi="宋体" w:cs="宋体"/>
          <w:kern w:val="0"/>
          <w:lang w:bidi="ar"/>
        </w:rPr>
        <w:t>灌溉水质量</w:t>
      </w:r>
      <w:r>
        <w:rPr>
          <w:rFonts w:hint="eastAsia" w:hAnsi="宋体" w:cs="宋体"/>
        </w:rPr>
        <w:tab/>
      </w:r>
      <w:r>
        <w:rPr>
          <w:rFonts w:hint="eastAsia" w:hAnsi="宋体" w:cs="宋体"/>
        </w:rPr>
        <w:fldChar w:fldCharType="begin"/>
      </w:r>
      <w:r>
        <w:rPr>
          <w:rFonts w:hint="eastAsia" w:hAnsi="宋体" w:cs="宋体"/>
        </w:rPr>
        <w:instrText xml:space="preserve"> PAGEREF _Toc8759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714EF942">
      <w:pPr>
        <w:pStyle w:val="25"/>
        <w:tabs>
          <w:tab w:val="right" w:leader="dot" w:pos="9354"/>
          <w:tab w:val="clear" w:pos="9344"/>
        </w:tabs>
        <w:rPr>
          <w:rFonts w:hAnsi="宋体" w:cs="宋体"/>
        </w:rPr>
      </w:pPr>
      <w:r>
        <w:fldChar w:fldCharType="begin"/>
      </w:r>
      <w:r>
        <w:instrText xml:space="preserve"> HYPERLINK \l "_Toc5426" </w:instrText>
      </w:r>
      <w:r>
        <w:fldChar w:fldCharType="separate"/>
      </w:r>
      <w:r>
        <w:rPr>
          <w:rFonts w:hint="eastAsia" w:hAnsi="宋体" w:cs="宋体"/>
          <w:kern w:val="0"/>
          <w:lang w:bidi="ar"/>
        </w:rPr>
        <w:t>4.6</w:t>
      </w:r>
      <w:r>
        <w:rPr>
          <w:rFonts w:hint="eastAsia" w:hAnsi="宋体" w:cs="宋体"/>
          <w:kern w:val="0"/>
          <w:lang w:eastAsia="zh-CN" w:bidi="ar"/>
        </w:rPr>
        <w:t xml:space="preserve"> </w:t>
      </w:r>
      <w:r>
        <w:rPr>
          <w:rFonts w:hint="eastAsia" w:hAnsi="宋体" w:cs="宋体"/>
          <w:kern w:val="0"/>
          <w:lang w:bidi="ar"/>
        </w:rPr>
        <w:t>环境评价</w:t>
      </w:r>
      <w:r>
        <w:rPr>
          <w:rFonts w:hint="eastAsia" w:hAnsi="宋体" w:cs="宋体"/>
        </w:rPr>
        <w:tab/>
      </w:r>
      <w:r>
        <w:rPr>
          <w:rFonts w:hint="eastAsia" w:hAnsi="宋体" w:cs="宋体"/>
        </w:rPr>
        <w:fldChar w:fldCharType="begin"/>
      </w:r>
      <w:r>
        <w:rPr>
          <w:rFonts w:hint="eastAsia" w:hAnsi="宋体" w:cs="宋体"/>
        </w:rPr>
        <w:instrText xml:space="preserve"> PAGEREF _Toc5426 \h </w:instrText>
      </w:r>
      <w:r>
        <w:rPr>
          <w:rFonts w:hint="eastAsia" w:hAnsi="宋体" w:cs="宋体"/>
        </w:rPr>
        <w:fldChar w:fldCharType="separate"/>
      </w:r>
      <w:r>
        <w:rPr>
          <w:rFonts w:hint="eastAsia" w:hAnsi="宋体" w:cs="宋体"/>
        </w:rPr>
        <w:t>6</w:t>
      </w:r>
      <w:r>
        <w:rPr>
          <w:rFonts w:hint="eastAsia" w:hAnsi="宋体" w:cs="宋体"/>
        </w:rPr>
        <w:fldChar w:fldCharType="end"/>
      </w:r>
      <w:r>
        <w:rPr>
          <w:rFonts w:hint="eastAsia" w:hAnsi="宋体" w:cs="宋体"/>
        </w:rPr>
        <w:fldChar w:fldCharType="end"/>
      </w:r>
    </w:p>
    <w:p w14:paraId="7DBD4B77">
      <w:pPr>
        <w:pStyle w:val="20"/>
        <w:tabs>
          <w:tab w:val="right" w:leader="dot" w:pos="9354"/>
        </w:tabs>
        <w:rPr>
          <w:rFonts w:hAnsi="宋体" w:cs="宋体"/>
        </w:rPr>
      </w:pPr>
      <w:r>
        <w:fldChar w:fldCharType="begin"/>
      </w:r>
      <w:r>
        <w:instrText xml:space="preserve"> HYPERLINK \l "_Toc13292" </w:instrText>
      </w:r>
      <w:r>
        <w:fldChar w:fldCharType="separate"/>
      </w:r>
      <w:r>
        <w:rPr>
          <w:rFonts w:hint="eastAsia" w:hAnsi="宋体" w:cs="宋体"/>
        </w:rPr>
        <w:t>5</w:t>
      </w:r>
      <w:r>
        <w:rPr>
          <w:rFonts w:hint="eastAsia" w:hAnsi="宋体" w:cs="宋体"/>
          <w:lang w:eastAsia="zh-CN"/>
        </w:rPr>
        <w:t xml:space="preserve"> </w:t>
      </w:r>
      <w:r>
        <w:rPr>
          <w:rFonts w:hint="eastAsia" w:hAnsi="宋体" w:cs="宋体"/>
        </w:rPr>
        <w:t>投入品管理</w:t>
      </w:r>
      <w:r>
        <w:rPr>
          <w:rFonts w:hint="eastAsia" w:hAnsi="宋体" w:cs="宋体"/>
        </w:rPr>
        <w:tab/>
      </w:r>
      <w:r>
        <w:rPr>
          <w:rFonts w:hint="eastAsia" w:hAnsi="宋体" w:cs="宋体"/>
        </w:rPr>
        <w:fldChar w:fldCharType="begin"/>
      </w:r>
      <w:r>
        <w:rPr>
          <w:rFonts w:hint="eastAsia" w:hAnsi="宋体" w:cs="宋体"/>
        </w:rPr>
        <w:instrText xml:space="preserve"> PAGEREF _Toc13292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6205030C">
      <w:pPr>
        <w:pStyle w:val="25"/>
        <w:tabs>
          <w:tab w:val="right" w:leader="dot" w:pos="9354"/>
          <w:tab w:val="clear" w:pos="9344"/>
        </w:tabs>
        <w:rPr>
          <w:rFonts w:hAnsi="宋体" w:cs="宋体"/>
        </w:rPr>
      </w:pPr>
      <w:r>
        <w:fldChar w:fldCharType="begin"/>
      </w:r>
      <w:r>
        <w:instrText xml:space="preserve"> HYPERLINK \l "_Toc15080" </w:instrText>
      </w:r>
      <w:r>
        <w:fldChar w:fldCharType="separate"/>
      </w:r>
      <w:r>
        <w:rPr>
          <w:rFonts w:hint="eastAsia" w:hAnsi="宋体" w:cs="宋体"/>
          <w:kern w:val="0"/>
          <w:lang w:bidi="ar"/>
        </w:rPr>
        <w:t>5.1</w:t>
      </w:r>
      <w:r>
        <w:rPr>
          <w:rFonts w:hint="eastAsia" w:hAnsi="宋体" w:cs="宋体"/>
          <w:kern w:val="0"/>
          <w:lang w:eastAsia="zh-CN" w:bidi="ar"/>
        </w:rPr>
        <w:t xml:space="preserve"> </w:t>
      </w:r>
      <w:r>
        <w:rPr>
          <w:rFonts w:hint="eastAsia" w:hAnsi="宋体" w:cs="宋体"/>
          <w:kern w:val="0"/>
          <w:lang w:bidi="ar"/>
        </w:rPr>
        <w:t>基本要求</w:t>
      </w:r>
      <w:r>
        <w:rPr>
          <w:rFonts w:hint="eastAsia" w:hAnsi="宋体" w:cs="宋体"/>
        </w:rPr>
        <w:tab/>
      </w:r>
      <w:r>
        <w:rPr>
          <w:rFonts w:hint="eastAsia" w:hAnsi="宋体" w:cs="宋体"/>
        </w:rPr>
        <w:fldChar w:fldCharType="begin"/>
      </w:r>
      <w:r>
        <w:rPr>
          <w:rFonts w:hint="eastAsia" w:hAnsi="宋体" w:cs="宋体"/>
        </w:rPr>
        <w:instrText xml:space="preserve"> PAGEREF _Toc15080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7552D612">
      <w:pPr>
        <w:pStyle w:val="25"/>
        <w:tabs>
          <w:tab w:val="right" w:leader="dot" w:pos="9354"/>
          <w:tab w:val="clear" w:pos="9344"/>
        </w:tabs>
        <w:rPr>
          <w:rFonts w:hAnsi="宋体" w:cs="宋体"/>
        </w:rPr>
      </w:pPr>
      <w:r>
        <w:fldChar w:fldCharType="begin"/>
      </w:r>
      <w:r>
        <w:instrText xml:space="preserve"> HYPERLINK \l "_Toc24041" </w:instrText>
      </w:r>
      <w:r>
        <w:fldChar w:fldCharType="separate"/>
      </w:r>
      <w:r>
        <w:rPr>
          <w:rFonts w:hint="eastAsia" w:hAnsi="宋体" w:cs="宋体"/>
          <w:kern w:val="0"/>
          <w:lang w:bidi="ar"/>
        </w:rPr>
        <w:t>5.2</w:t>
      </w:r>
      <w:r>
        <w:rPr>
          <w:rFonts w:hint="eastAsia" w:hAnsi="宋体" w:cs="宋体"/>
          <w:kern w:val="0"/>
          <w:lang w:eastAsia="zh-CN" w:bidi="ar"/>
        </w:rPr>
        <w:t xml:space="preserve"> </w:t>
      </w:r>
      <w:r>
        <w:rPr>
          <w:rFonts w:hint="eastAsia" w:hAnsi="宋体" w:cs="宋体"/>
          <w:kern w:val="0"/>
          <w:lang w:bidi="ar"/>
        </w:rPr>
        <w:t>肥料</w:t>
      </w:r>
      <w:r>
        <w:rPr>
          <w:rFonts w:hint="eastAsia" w:hAnsi="宋体" w:cs="宋体"/>
        </w:rPr>
        <w:tab/>
      </w:r>
      <w:r>
        <w:rPr>
          <w:rFonts w:hint="eastAsia" w:hAnsi="宋体" w:cs="宋体"/>
        </w:rPr>
        <w:fldChar w:fldCharType="begin"/>
      </w:r>
      <w:r>
        <w:rPr>
          <w:rFonts w:hint="eastAsia" w:hAnsi="宋体" w:cs="宋体"/>
        </w:rPr>
        <w:instrText xml:space="preserve"> PAGEREF _Toc24041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05EB7444">
      <w:pPr>
        <w:pStyle w:val="25"/>
        <w:tabs>
          <w:tab w:val="right" w:leader="dot" w:pos="9354"/>
          <w:tab w:val="clear" w:pos="9344"/>
        </w:tabs>
        <w:rPr>
          <w:rFonts w:hAnsi="宋体" w:cs="宋体"/>
        </w:rPr>
      </w:pPr>
      <w:r>
        <w:fldChar w:fldCharType="begin"/>
      </w:r>
      <w:r>
        <w:instrText xml:space="preserve"> HYPERLINK \l "_Toc26811" </w:instrText>
      </w:r>
      <w:r>
        <w:fldChar w:fldCharType="separate"/>
      </w:r>
      <w:r>
        <w:rPr>
          <w:rFonts w:hint="eastAsia" w:hAnsi="宋体" w:cs="宋体"/>
          <w:kern w:val="0"/>
          <w:lang w:bidi="ar"/>
        </w:rPr>
        <w:t>5.3</w:t>
      </w:r>
      <w:r>
        <w:rPr>
          <w:rFonts w:hint="eastAsia" w:hAnsi="宋体" w:cs="宋体"/>
          <w:kern w:val="0"/>
          <w:lang w:eastAsia="zh-CN" w:bidi="ar"/>
        </w:rPr>
        <w:t xml:space="preserve"> </w:t>
      </w:r>
      <w:r>
        <w:rPr>
          <w:rFonts w:hint="eastAsia" w:hAnsi="宋体" w:cs="宋体"/>
          <w:kern w:val="0"/>
          <w:lang w:bidi="ar"/>
        </w:rPr>
        <w:t>农药</w:t>
      </w:r>
      <w:r>
        <w:rPr>
          <w:rFonts w:hint="eastAsia" w:hAnsi="宋体" w:cs="宋体"/>
        </w:rPr>
        <w:tab/>
      </w:r>
      <w:r>
        <w:rPr>
          <w:rFonts w:hint="eastAsia" w:hAnsi="宋体" w:cs="宋体"/>
        </w:rPr>
        <w:fldChar w:fldCharType="begin"/>
      </w:r>
      <w:r>
        <w:rPr>
          <w:rFonts w:hint="eastAsia" w:hAnsi="宋体" w:cs="宋体"/>
        </w:rPr>
        <w:instrText xml:space="preserve"> PAGEREF _Toc26811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34D814C5">
      <w:pPr>
        <w:pStyle w:val="25"/>
        <w:tabs>
          <w:tab w:val="right" w:leader="dot" w:pos="9354"/>
          <w:tab w:val="clear" w:pos="9344"/>
        </w:tabs>
        <w:rPr>
          <w:rFonts w:hAnsi="宋体" w:cs="宋体"/>
        </w:rPr>
      </w:pPr>
      <w:r>
        <w:fldChar w:fldCharType="begin"/>
      </w:r>
      <w:r>
        <w:instrText xml:space="preserve"> HYPERLINK \l "_Toc22963" </w:instrText>
      </w:r>
      <w:r>
        <w:fldChar w:fldCharType="separate"/>
      </w:r>
      <w:r>
        <w:rPr>
          <w:rFonts w:hint="eastAsia" w:hAnsi="宋体" w:cs="宋体"/>
          <w:kern w:val="0"/>
          <w:lang w:bidi="ar"/>
        </w:rPr>
        <w:t>5.4</w:t>
      </w:r>
      <w:r>
        <w:rPr>
          <w:rFonts w:hint="eastAsia" w:hAnsi="宋体" w:cs="宋体"/>
          <w:kern w:val="0"/>
          <w:lang w:eastAsia="zh-CN" w:bidi="ar"/>
        </w:rPr>
        <w:t xml:space="preserve"> </w:t>
      </w:r>
      <w:r>
        <w:rPr>
          <w:rFonts w:hint="eastAsia" w:hAnsi="宋体" w:cs="宋体"/>
          <w:kern w:val="0"/>
          <w:lang w:bidi="ar"/>
        </w:rPr>
        <w:t>套袋材料</w:t>
      </w:r>
      <w:r>
        <w:rPr>
          <w:rFonts w:hint="eastAsia" w:hAnsi="宋体" w:cs="宋体"/>
        </w:rPr>
        <w:tab/>
      </w:r>
      <w:r>
        <w:rPr>
          <w:rFonts w:hint="eastAsia" w:hAnsi="宋体" w:cs="宋体"/>
        </w:rPr>
        <w:fldChar w:fldCharType="begin"/>
      </w:r>
      <w:r>
        <w:rPr>
          <w:rFonts w:hint="eastAsia" w:hAnsi="宋体" w:cs="宋体"/>
        </w:rPr>
        <w:instrText xml:space="preserve"> PAGEREF _Toc22963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60A188A8">
      <w:pPr>
        <w:pStyle w:val="25"/>
        <w:tabs>
          <w:tab w:val="right" w:leader="dot" w:pos="9354"/>
          <w:tab w:val="clear" w:pos="9344"/>
        </w:tabs>
        <w:rPr>
          <w:rFonts w:hAnsi="宋体" w:cs="宋体"/>
        </w:rPr>
      </w:pPr>
      <w:r>
        <w:fldChar w:fldCharType="begin"/>
      </w:r>
      <w:r>
        <w:instrText xml:space="preserve"> HYPERLINK \l "_Toc19381" </w:instrText>
      </w:r>
      <w:r>
        <w:fldChar w:fldCharType="separate"/>
      </w:r>
      <w:r>
        <w:rPr>
          <w:rFonts w:hint="eastAsia" w:hAnsi="宋体" w:cs="宋体"/>
          <w:kern w:val="0"/>
          <w:lang w:bidi="ar"/>
        </w:rPr>
        <w:t>5.5</w:t>
      </w:r>
      <w:r>
        <w:rPr>
          <w:rFonts w:hint="eastAsia" w:hAnsi="宋体" w:cs="宋体"/>
          <w:kern w:val="0"/>
          <w:lang w:eastAsia="zh-CN" w:bidi="ar"/>
        </w:rPr>
        <w:t xml:space="preserve"> </w:t>
      </w:r>
      <w:r>
        <w:rPr>
          <w:rFonts w:hint="eastAsia" w:hAnsi="宋体" w:cs="宋体"/>
          <w:kern w:val="0"/>
          <w:lang w:bidi="ar"/>
        </w:rPr>
        <w:t>其他</w:t>
      </w:r>
      <w:r>
        <w:rPr>
          <w:rFonts w:hint="eastAsia" w:hAnsi="宋体" w:cs="宋体"/>
        </w:rPr>
        <w:tab/>
      </w:r>
      <w:r>
        <w:rPr>
          <w:rFonts w:hint="eastAsia" w:hAnsi="宋体" w:cs="宋体"/>
        </w:rPr>
        <w:fldChar w:fldCharType="begin"/>
      </w:r>
      <w:r>
        <w:rPr>
          <w:rFonts w:hint="eastAsia" w:hAnsi="宋体" w:cs="宋体"/>
        </w:rPr>
        <w:instrText xml:space="preserve"> PAGEREF _Toc19381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30046CA0">
      <w:pPr>
        <w:pStyle w:val="20"/>
        <w:tabs>
          <w:tab w:val="right" w:leader="dot" w:pos="9354"/>
        </w:tabs>
        <w:rPr>
          <w:rFonts w:hAnsi="宋体" w:cs="宋体"/>
        </w:rPr>
      </w:pPr>
      <w:r>
        <w:fldChar w:fldCharType="begin"/>
      </w:r>
      <w:r>
        <w:instrText xml:space="preserve"> HYPERLINK \l "_Toc31584" </w:instrText>
      </w:r>
      <w:r>
        <w:fldChar w:fldCharType="separate"/>
      </w:r>
      <w:r>
        <w:rPr>
          <w:rFonts w:hint="eastAsia" w:hAnsi="宋体" w:cs="宋体"/>
        </w:rPr>
        <w:t>6</w:t>
      </w:r>
      <w:r>
        <w:rPr>
          <w:rFonts w:hint="eastAsia" w:hAnsi="宋体" w:cs="宋体"/>
          <w:lang w:eastAsia="zh-CN"/>
        </w:rPr>
        <w:t xml:space="preserve"> </w:t>
      </w:r>
      <w:r>
        <w:rPr>
          <w:rFonts w:hint="eastAsia" w:hAnsi="宋体" w:cs="宋体"/>
        </w:rPr>
        <w:t>品种选择</w:t>
      </w:r>
      <w:r>
        <w:rPr>
          <w:rFonts w:hint="eastAsia" w:hAnsi="宋体" w:cs="宋体"/>
        </w:rPr>
        <w:tab/>
      </w:r>
      <w:r>
        <w:rPr>
          <w:rFonts w:hint="eastAsia" w:hAnsi="宋体" w:cs="宋体"/>
        </w:rPr>
        <w:fldChar w:fldCharType="begin"/>
      </w:r>
      <w:r>
        <w:rPr>
          <w:rFonts w:hint="eastAsia" w:hAnsi="宋体" w:cs="宋体"/>
        </w:rPr>
        <w:instrText xml:space="preserve"> PAGEREF _Toc31584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34C7F690">
      <w:pPr>
        <w:pStyle w:val="20"/>
        <w:tabs>
          <w:tab w:val="right" w:leader="dot" w:pos="9354"/>
        </w:tabs>
        <w:rPr>
          <w:rFonts w:hAnsi="宋体" w:cs="宋体"/>
        </w:rPr>
      </w:pPr>
      <w:r>
        <w:fldChar w:fldCharType="begin"/>
      </w:r>
      <w:r>
        <w:instrText xml:space="preserve"> HYPERLINK \l "_Toc7676" </w:instrText>
      </w:r>
      <w:r>
        <w:fldChar w:fldCharType="separate"/>
      </w:r>
      <w:r>
        <w:rPr>
          <w:rFonts w:hint="eastAsia" w:hAnsi="宋体" w:cs="宋体"/>
        </w:rPr>
        <w:t>7</w:t>
      </w:r>
      <w:r>
        <w:rPr>
          <w:rFonts w:hint="eastAsia" w:hAnsi="宋体" w:cs="宋体"/>
          <w:lang w:eastAsia="zh-CN"/>
        </w:rPr>
        <w:t xml:space="preserve"> </w:t>
      </w:r>
      <w:r>
        <w:rPr>
          <w:rFonts w:hint="eastAsia" w:hAnsi="宋体" w:cs="宋体"/>
        </w:rPr>
        <w:t>种苗</w:t>
      </w:r>
      <w:r>
        <w:rPr>
          <w:rFonts w:hint="eastAsia" w:hAnsi="宋体" w:cs="宋体"/>
        </w:rPr>
        <w:tab/>
      </w:r>
      <w:r>
        <w:rPr>
          <w:rFonts w:hint="eastAsia" w:hAnsi="宋体" w:cs="宋体"/>
        </w:rPr>
        <w:fldChar w:fldCharType="begin"/>
      </w:r>
      <w:r>
        <w:rPr>
          <w:rFonts w:hint="eastAsia" w:hAnsi="宋体" w:cs="宋体"/>
        </w:rPr>
        <w:instrText xml:space="preserve"> PAGEREF _Toc7676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764AD43E">
      <w:pPr>
        <w:pStyle w:val="25"/>
        <w:tabs>
          <w:tab w:val="right" w:leader="dot" w:pos="9354"/>
          <w:tab w:val="clear" w:pos="9344"/>
        </w:tabs>
        <w:rPr>
          <w:rFonts w:hAnsi="宋体" w:cs="宋体"/>
        </w:rPr>
      </w:pPr>
      <w:r>
        <w:fldChar w:fldCharType="begin"/>
      </w:r>
      <w:r>
        <w:instrText xml:space="preserve"> HYPERLINK \l "_Toc6463" </w:instrText>
      </w:r>
      <w:r>
        <w:fldChar w:fldCharType="separate"/>
      </w:r>
      <w:r>
        <w:rPr>
          <w:rFonts w:hint="eastAsia" w:hAnsi="宋体" w:cs="宋体"/>
          <w:kern w:val="0"/>
          <w:lang w:bidi="ar"/>
        </w:rPr>
        <w:t>7.1</w:t>
      </w:r>
      <w:r>
        <w:rPr>
          <w:rFonts w:hint="eastAsia" w:hAnsi="宋体" w:cs="宋体"/>
          <w:kern w:val="0"/>
          <w:lang w:eastAsia="zh-CN" w:bidi="ar"/>
        </w:rPr>
        <w:t xml:space="preserve"> </w:t>
      </w:r>
      <w:r>
        <w:rPr>
          <w:rFonts w:hint="eastAsia" w:hAnsi="宋体" w:cs="宋体"/>
          <w:kern w:val="0"/>
          <w:lang w:bidi="ar"/>
        </w:rPr>
        <w:t>种苗繁育</w:t>
      </w:r>
      <w:r>
        <w:rPr>
          <w:rFonts w:hint="eastAsia" w:hAnsi="宋体" w:cs="宋体"/>
        </w:rPr>
        <w:tab/>
      </w:r>
      <w:r>
        <w:rPr>
          <w:rFonts w:hint="eastAsia" w:hAnsi="宋体" w:cs="宋体"/>
        </w:rPr>
        <w:fldChar w:fldCharType="begin"/>
      </w:r>
      <w:r>
        <w:rPr>
          <w:rFonts w:hint="eastAsia" w:hAnsi="宋体" w:cs="宋体"/>
        </w:rPr>
        <w:instrText xml:space="preserve"> PAGEREF _Toc6463 \h </w:instrText>
      </w:r>
      <w:r>
        <w:rPr>
          <w:rFonts w:hint="eastAsia" w:hAnsi="宋体" w:cs="宋体"/>
        </w:rPr>
        <w:fldChar w:fldCharType="separate"/>
      </w:r>
      <w:r>
        <w:rPr>
          <w:rFonts w:hint="eastAsia" w:hAnsi="宋体" w:cs="宋体"/>
        </w:rPr>
        <w:t>7</w:t>
      </w:r>
      <w:r>
        <w:rPr>
          <w:rFonts w:hint="eastAsia" w:hAnsi="宋体" w:cs="宋体"/>
        </w:rPr>
        <w:fldChar w:fldCharType="end"/>
      </w:r>
      <w:r>
        <w:rPr>
          <w:rFonts w:hint="eastAsia" w:hAnsi="宋体" w:cs="宋体"/>
        </w:rPr>
        <w:fldChar w:fldCharType="end"/>
      </w:r>
    </w:p>
    <w:p w14:paraId="2FBD37E0">
      <w:pPr>
        <w:pStyle w:val="25"/>
        <w:tabs>
          <w:tab w:val="right" w:leader="dot" w:pos="9354"/>
          <w:tab w:val="clear" w:pos="9344"/>
        </w:tabs>
        <w:rPr>
          <w:rFonts w:hAnsi="宋体" w:cs="宋体"/>
        </w:rPr>
      </w:pPr>
      <w:r>
        <w:fldChar w:fldCharType="begin"/>
      </w:r>
      <w:r>
        <w:instrText xml:space="preserve"> HYPERLINK \l "_Toc22109" </w:instrText>
      </w:r>
      <w:r>
        <w:fldChar w:fldCharType="separate"/>
      </w:r>
      <w:r>
        <w:rPr>
          <w:rFonts w:hint="eastAsia" w:hAnsi="宋体" w:cs="宋体"/>
          <w:kern w:val="0"/>
          <w:lang w:bidi="ar"/>
        </w:rPr>
        <w:t>7.2</w:t>
      </w:r>
      <w:r>
        <w:rPr>
          <w:rFonts w:hint="eastAsia" w:hAnsi="宋体" w:cs="宋体"/>
          <w:kern w:val="0"/>
          <w:lang w:eastAsia="zh-CN" w:bidi="ar"/>
        </w:rPr>
        <w:t xml:space="preserve"> </w:t>
      </w:r>
      <w:r>
        <w:rPr>
          <w:rFonts w:hint="eastAsia" w:hAnsi="宋体" w:cs="宋体"/>
          <w:kern w:val="0"/>
          <w:lang w:bidi="ar"/>
        </w:rPr>
        <w:t>种苗质量</w:t>
      </w:r>
      <w:r>
        <w:rPr>
          <w:rFonts w:hint="eastAsia" w:hAnsi="宋体" w:cs="宋体"/>
        </w:rPr>
        <w:tab/>
      </w:r>
      <w:r>
        <w:rPr>
          <w:rFonts w:hint="eastAsia" w:hAnsi="宋体" w:cs="宋体"/>
        </w:rPr>
        <w:fldChar w:fldCharType="begin"/>
      </w:r>
      <w:r>
        <w:rPr>
          <w:rFonts w:hint="eastAsia" w:hAnsi="宋体" w:cs="宋体"/>
        </w:rPr>
        <w:instrText xml:space="preserve"> PAGEREF _Toc22109 \h </w:instrText>
      </w:r>
      <w:r>
        <w:rPr>
          <w:rFonts w:hint="eastAsia" w:hAnsi="宋体" w:cs="宋体"/>
        </w:rPr>
        <w:fldChar w:fldCharType="separate"/>
      </w:r>
      <w:r>
        <w:rPr>
          <w:rFonts w:hint="eastAsia" w:hAnsi="宋体" w:cs="宋体"/>
        </w:rPr>
        <w:t>8</w:t>
      </w:r>
      <w:r>
        <w:rPr>
          <w:rFonts w:hint="eastAsia" w:hAnsi="宋体" w:cs="宋体"/>
        </w:rPr>
        <w:fldChar w:fldCharType="end"/>
      </w:r>
      <w:r>
        <w:rPr>
          <w:rFonts w:hint="eastAsia" w:hAnsi="宋体" w:cs="宋体"/>
        </w:rPr>
        <w:fldChar w:fldCharType="end"/>
      </w:r>
    </w:p>
    <w:p w14:paraId="09154ED7">
      <w:pPr>
        <w:pStyle w:val="20"/>
        <w:tabs>
          <w:tab w:val="right" w:leader="dot" w:pos="9354"/>
        </w:tabs>
        <w:rPr>
          <w:rFonts w:hAnsi="宋体" w:cs="宋体"/>
        </w:rPr>
      </w:pPr>
      <w:r>
        <w:fldChar w:fldCharType="begin"/>
      </w:r>
      <w:r>
        <w:instrText xml:space="preserve"> HYPERLINK \l "_Toc18877" </w:instrText>
      </w:r>
      <w:r>
        <w:fldChar w:fldCharType="separate"/>
      </w:r>
      <w:r>
        <w:rPr>
          <w:rFonts w:hint="eastAsia" w:hAnsi="宋体" w:cs="宋体"/>
        </w:rPr>
        <w:t>8</w:t>
      </w:r>
      <w:r>
        <w:rPr>
          <w:rFonts w:hint="eastAsia" w:hAnsi="宋体" w:cs="宋体"/>
          <w:lang w:eastAsia="zh-CN"/>
        </w:rPr>
        <w:t xml:space="preserve"> </w:t>
      </w:r>
      <w:r>
        <w:rPr>
          <w:rFonts w:hint="eastAsia" w:hAnsi="宋体" w:cs="宋体"/>
        </w:rPr>
        <w:t>果园建立</w:t>
      </w:r>
      <w:r>
        <w:rPr>
          <w:rFonts w:hint="eastAsia" w:hAnsi="宋体" w:cs="宋体"/>
        </w:rPr>
        <w:tab/>
      </w:r>
      <w:r>
        <w:rPr>
          <w:rFonts w:hint="eastAsia" w:hAnsi="宋体" w:cs="宋体"/>
        </w:rPr>
        <w:fldChar w:fldCharType="begin"/>
      </w:r>
      <w:r>
        <w:rPr>
          <w:rFonts w:hint="eastAsia" w:hAnsi="宋体" w:cs="宋体"/>
        </w:rPr>
        <w:instrText xml:space="preserve"> PAGEREF _Toc18877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117E4601">
      <w:pPr>
        <w:pStyle w:val="25"/>
        <w:tabs>
          <w:tab w:val="right" w:leader="dot" w:pos="9354"/>
          <w:tab w:val="clear" w:pos="9344"/>
        </w:tabs>
        <w:rPr>
          <w:rFonts w:hAnsi="宋体" w:cs="宋体"/>
        </w:rPr>
      </w:pPr>
      <w:r>
        <w:fldChar w:fldCharType="begin"/>
      </w:r>
      <w:r>
        <w:instrText xml:space="preserve"> HYPERLINK \l "_Toc2333" </w:instrText>
      </w:r>
      <w:r>
        <w:fldChar w:fldCharType="separate"/>
      </w:r>
      <w:r>
        <w:rPr>
          <w:rFonts w:hint="eastAsia" w:hAnsi="宋体" w:cs="宋体"/>
          <w:kern w:val="0"/>
          <w:lang w:bidi="ar"/>
        </w:rPr>
        <w:t>8.1</w:t>
      </w:r>
      <w:r>
        <w:rPr>
          <w:rFonts w:hint="eastAsia" w:hAnsi="宋体" w:cs="宋体"/>
          <w:kern w:val="0"/>
          <w:lang w:eastAsia="zh-CN" w:bidi="ar"/>
        </w:rPr>
        <w:t xml:space="preserve"> </w:t>
      </w:r>
      <w:r>
        <w:rPr>
          <w:rFonts w:hint="eastAsia" w:hAnsi="宋体" w:cs="宋体"/>
          <w:kern w:val="0"/>
          <w:lang w:bidi="ar"/>
        </w:rPr>
        <w:t>园地选择</w:t>
      </w:r>
      <w:r>
        <w:rPr>
          <w:rFonts w:hint="eastAsia" w:hAnsi="宋体" w:cs="宋体"/>
        </w:rPr>
        <w:tab/>
      </w:r>
      <w:r>
        <w:rPr>
          <w:rFonts w:hint="eastAsia" w:hAnsi="宋体" w:cs="宋体"/>
        </w:rPr>
        <w:fldChar w:fldCharType="begin"/>
      </w:r>
      <w:r>
        <w:rPr>
          <w:rFonts w:hint="eastAsia" w:hAnsi="宋体" w:cs="宋体"/>
        </w:rPr>
        <w:instrText xml:space="preserve"> PAGEREF _Toc2333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34505B2C">
      <w:pPr>
        <w:pStyle w:val="25"/>
        <w:tabs>
          <w:tab w:val="right" w:leader="dot" w:pos="9354"/>
          <w:tab w:val="clear" w:pos="9344"/>
        </w:tabs>
        <w:rPr>
          <w:rFonts w:hAnsi="宋体" w:cs="宋体"/>
        </w:rPr>
      </w:pPr>
      <w:r>
        <w:fldChar w:fldCharType="begin"/>
      </w:r>
      <w:r>
        <w:instrText xml:space="preserve"> HYPERLINK \l "_Toc29038" </w:instrText>
      </w:r>
      <w:r>
        <w:fldChar w:fldCharType="separate"/>
      </w:r>
      <w:r>
        <w:rPr>
          <w:rFonts w:hint="eastAsia" w:hAnsi="宋体" w:cs="宋体"/>
          <w:kern w:val="0"/>
          <w:lang w:bidi="ar"/>
        </w:rPr>
        <w:t>8.2</w:t>
      </w:r>
      <w:r>
        <w:rPr>
          <w:rFonts w:hint="eastAsia" w:hAnsi="宋体" w:cs="宋体"/>
          <w:kern w:val="0"/>
          <w:lang w:eastAsia="zh-CN" w:bidi="ar"/>
        </w:rPr>
        <w:t xml:space="preserve"> </w:t>
      </w:r>
      <w:r>
        <w:rPr>
          <w:rFonts w:hint="eastAsia" w:hAnsi="宋体" w:cs="宋体"/>
          <w:kern w:val="0"/>
          <w:lang w:bidi="ar"/>
        </w:rPr>
        <w:t>园地规划</w:t>
      </w:r>
      <w:r>
        <w:rPr>
          <w:rFonts w:hint="eastAsia" w:hAnsi="宋体" w:cs="宋体"/>
        </w:rPr>
        <w:tab/>
      </w:r>
      <w:r>
        <w:rPr>
          <w:rFonts w:hint="eastAsia" w:hAnsi="宋体" w:cs="宋体"/>
        </w:rPr>
        <w:fldChar w:fldCharType="begin"/>
      </w:r>
      <w:r>
        <w:rPr>
          <w:rFonts w:hint="eastAsia" w:hAnsi="宋体" w:cs="宋体"/>
        </w:rPr>
        <w:instrText xml:space="preserve"> PAGEREF _Toc29038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09C6736A">
      <w:pPr>
        <w:pStyle w:val="25"/>
        <w:tabs>
          <w:tab w:val="right" w:leader="dot" w:pos="9354"/>
          <w:tab w:val="clear" w:pos="9344"/>
        </w:tabs>
        <w:rPr>
          <w:rFonts w:hAnsi="宋体" w:cs="宋体"/>
        </w:rPr>
      </w:pPr>
      <w:r>
        <w:fldChar w:fldCharType="begin"/>
      </w:r>
      <w:r>
        <w:instrText xml:space="preserve"> HYPERLINK \l "_Toc11356" </w:instrText>
      </w:r>
      <w:r>
        <w:fldChar w:fldCharType="separate"/>
      </w:r>
      <w:r>
        <w:rPr>
          <w:rFonts w:hint="eastAsia" w:hAnsi="宋体" w:cs="宋体"/>
          <w:kern w:val="0"/>
          <w:lang w:bidi="ar"/>
        </w:rPr>
        <w:t>8.3</w:t>
      </w:r>
      <w:r>
        <w:rPr>
          <w:rFonts w:hint="eastAsia" w:hAnsi="宋体" w:cs="宋体"/>
          <w:kern w:val="0"/>
          <w:lang w:eastAsia="zh-CN" w:bidi="ar"/>
        </w:rPr>
        <w:t xml:space="preserve"> </w:t>
      </w:r>
      <w:r>
        <w:rPr>
          <w:rFonts w:hint="eastAsia" w:hAnsi="宋体" w:cs="宋体"/>
          <w:kern w:val="0"/>
          <w:lang w:bidi="ar"/>
        </w:rPr>
        <w:t>园地开垦</w:t>
      </w:r>
      <w:r>
        <w:rPr>
          <w:rFonts w:hint="eastAsia" w:hAnsi="宋体" w:cs="宋体"/>
        </w:rPr>
        <w:tab/>
      </w:r>
      <w:r>
        <w:rPr>
          <w:rFonts w:hint="eastAsia" w:hAnsi="宋体" w:cs="宋体"/>
        </w:rPr>
        <w:fldChar w:fldCharType="begin"/>
      </w:r>
      <w:r>
        <w:rPr>
          <w:rFonts w:hint="eastAsia" w:hAnsi="宋体" w:cs="宋体"/>
        </w:rPr>
        <w:instrText xml:space="preserve"> PAGEREF _Toc11356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1D46677A">
      <w:pPr>
        <w:pStyle w:val="25"/>
        <w:tabs>
          <w:tab w:val="right" w:leader="dot" w:pos="9354"/>
          <w:tab w:val="clear" w:pos="9344"/>
        </w:tabs>
        <w:rPr>
          <w:rFonts w:hAnsi="宋体" w:cs="宋体"/>
        </w:rPr>
      </w:pPr>
      <w:r>
        <w:fldChar w:fldCharType="begin"/>
      </w:r>
      <w:r>
        <w:instrText xml:space="preserve"> HYPERLINK \l "_Toc10849" </w:instrText>
      </w:r>
      <w:r>
        <w:fldChar w:fldCharType="separate"/>
      </w:r>
      <w:r>
        <w:rPr>
          <w:rFonts w:hint="eastAsia" w:hAnsi="宋体" w:cs="宋体"/>
          <w:kern w:val="0"/>
          <w:lang w:bidi="ar"/>
        </w:rPr>
        <w:t>8.4</w:t>
      </w:r>
      <w:r>
        <w:rPr>
          <w:rFonts w:hint="eastAsia" w:hAnsi="宋体" w:cs="宋体"/>
          <w:kern w:val="0"/>
          <w:lang w:eastAsia="zh-CN" w:bidi="ar"/>
        </w:rPr>
        <w:t xml:space="preserve"> </w:t>
      </w:r>
      <w:r>
        <w:rPr>
          <w:rFonts w:hint="eastAsia" w:hAnsi="宋体" w:cs="宋体"/>
          <w:kern w:val="0"/>
          <w:lang w:bidi="ar"/>
        </w:rPr>
        <w:t>植穴准备</w:t>
      </w:r>
      <w:r>
        <w:rPr>
          <w:rFonts w:hint="eastAsia" w:hAnsi="宋体" w:cs="宋体"/>
        </w:rPr>
        <w:tab/>
      </w:r>
      <w:r>
        <w:rPr>
          <w:rFonts w:hint="eastAsia" w:hAnsi="宋体" w:cs="宋体"/>
        </w:rPr>
        <w:fldChar w:fldCharType="begin"/>
      </w:r>
      <w:r>
        <w:rPr>
          <w:rFonts w:hint="eastAsia" w:hAnsi="宋体" w:cs="宋体"/>
        </w:rPr>
        <w:instrText xml:space="preserve"> PAGEREF _Toc10849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30FC6F1D">
      <w:pPr>
        <w:pStyle w:val="25"/>
        <w:tabs>
          <w:tab w:val="right" w:leader="dot" w:pos="9354"/>
          <w:tab w:val="clear" w:pos="9344"/>
        </w:tabs>
        <w:rPr>
          <w:rFonts w:hAnsi="宋体" w:cs="宋体"/>
        </w:rPr>
      </w:pPr>
      <w:r>
        <w:fldChar w:fldCharType="begin"/>
      </w:r>
      <w:r>
        <w:instrText xml:space="preserve"> HYPERLINK \l "_Toc17555" </w:instrText>
      </w:r>
      <w:r>
        <w:fldChar w:fldCharType="separate"/>
      </w:r>
      <w:r>
        <w:rPr>
          <w:rFonts w:hint="eastAsia" w:hAnsi="宋体" w:cs="宋体"/>
          <w:kern w:val="0"/>
          <w:lang w:bidi="ar"/>
        </w:rPr>
        <w:t>8.5</w:t>
      </w:r>
      <w:r>
        <w:rPr>
          <w:rFonts w:hint="eastAsia" w:hAnsi="宋体" w:cs="宋体"/>
          <w:kern w:val="0"/>
          <w:lang w:eastAsia="zh-CN" w:bidi="ar"/>
        </w:rPr>
        <w:t xml:space="preserve"> </w:t>
      </w:r>
      <w:r>
        <w:rPr>
          <w:rFonts w:hint="eastAsia" w:hAnsi="宋体" w:cs="宋体"/>
          <w:kern w:val="0"/>
          <w:lang w:bidi="ar"/>
        </w:rPr>
        <w:t>定植</w:t>
      </w:r>
      <w:r>
        <w:rPr>
          <w:rFonts w:hint="eastAsia" w:hAnsi="宋体" w:cs="宋体"/>
        </w:rPr>
        <w:tab/>
      </w:r>
      <w:r>
        <w:rPr>
          <w:rFonts w:hint="eastAsia" w:hAnsi="宋体" w:cs="宋体"/>
        </w:rPr>
        <w:fldChar w:fldCharType="begin"/>
      </w:r>
      <w:r>
        <w:rPr>
          <w:rFonts w:hint="eastAsia" w:hAnsi="宋体" w:cs="宋体"/>
        </w:rPr>
        <w:instrText xml:space="preserve"> PAGEREF _Toc17555 \h </w:instrText>
      </w:r>
      <w:r>
        <w:rPr>
          <w:rFonts w:hint="eastAsia" w:hAnsi="宋体" w:cs="宋体"/>
        </w:rPr>
        <w:fldChar w:fldCharType="separate"/>
      </w:r>
      <w:r>
        <w:rPr>
          <w:rFonts w:hint="eastAsia" w:hAnsi="宋体" w:cs="宋体"/>
        </w:rPr>
        <w:t>10</w:t>
      </w:r>
      <w:r>
        <w:rPr>
          <w:rFonts w:hint="eastAsia" w:hAnsi="宋体" w:cs="宋体"/>
        </w:rPr>
        <w:fldChar w:fldCharType="end"/>
      </w:r>
      <w:r>
        <w:rPr>
          <w:rFonts w:hint="eastAsia" w:hAnsi="宋体" w:cs="宋体"/>
        </w:rPr>
        <w:fldChar w:fldCharType="end"/>
      </w:r>
    </w:p>
    <w:p w14:paraId="5F3F836D">
      <w:pPr>
        <w:pStyle w:val="20"/>
        <w:tabs>
          <w:tab w:val="right" w:leader="dot" w:pos="9354"/>
        </w:tabs>
        <w:rPr>
          <w:rFonts w:hAnsi="宋体" w:cs="宋体"/>
        </w:rPr>
      </w:pPr>
      <w:r>
        <w:fldChar w:fldCharType="begin"/>
      </w:r>
      <w:r>
        <w:instrText xml:space="preserve"> HYPERLINK \l "_Toc5936" </w:instrText>
      </w:r>
      <w:r>
        <w:fldChar w:fldCharType="separate"/>
      </w:r>
      <w:r>
        <w:rPr>
          <w:rFonts w:hint="eastAsia" w:hAnsi="宋体" w:cs="宋体"/>
        </w:rPr>
        <w:t>9</w:t>
      </w:r>
      <w:r>
        <w:rPr>
          <w:rFonts w:hint="eastAsia" w:hAnsi="宋体" w:cs="宋体"/>
          <w:lang w:eastAsia="zh-CN"/>
        </w:rPr>
        <w:t xml:space="preserve"> </w:t>
      </w:r>
      <w:r>
        <w:rPr>
          <w:rFonts w:hint="eastAsia" w:hAnsi="宋体" w:cs="宋体"/>
        </w:rPr>
        <w:t>田间管理</w:t>
      </w:r>
      <w:r>
        <w:rPr>
          <w:rFonts w:hint="eastAsia" w:hAnsi="宋体" w:cs="宋体"/>
        </w:rPr>
        <w:tab/>
      </w:r>
      <w:r>
        <w:rPr>
          <w:rFonts w:hint="eastAsia" w:hAnsi="宋体" w:cs="宋体"/>
        </w:rPr>
        <w:fldChar w:fldCharType="begin"/>
      </w:r>
      <w:r>
        <w:rPr>
          <w:rFonts w:hint="eastAsia" w:hAnsi="宋体" w:cs="宋体"/>
        </w:rPr>
        <w:instrText xml:space="preserve"> PAGEREF _Toc5936 \h </w:instrText>
      </w:r>
      <w:r>
        <w:rPr>
          <w:rFonts w:hint="eastAsia" w:hAnsi="宋体" w:cs="宋体"/>
        </w:rPr>
        <w:fldChar w:fldCharType="separate"/>
      </w:r>
      <w:r>
        <w:rPr>
          <w:rFonts w:hint="eastAsia" w:hAnsi="宋体" w:cs="宋体"/>
        </w:rPr>
        <w:t>11</w:t>
      </w:r>
      <w:r>
        <w:rPr>
          <w:rFonts w:hint="eastAsia" w:hAnsi="宋体" w:cs="宋体"/>
        </w:rPr>
        <w:fldChar w:fldCharType="end"/>
      </w:r>
      <w:r>
        <w:rPr>
          <w:rFonts w:hint="eastAsia" w:hAnsi="宋体" w:cs="宋体"/>
        </w:rPr>
        <w:fldChar w:fldCharType="end"/>
      </w:r>
    </w:p>
    <w:p w14:paraId="22A1C8E9">
      <w:pPr>
        <w:pStyle w:val="25"/>
        <w:tabs>
          <w:tab w:val="right" w:leader="dot" w:pos="9354"/>
          <w:tab w:val="clear" w:pos="9344"/>
        </w:tabs>
        <w:rPr>
          <w:rFonts w:hAnsi="宋体" w:cs="宋体"/>
        </w:rPr>
      </w:pPr>
      <w:r>
        <w:fldChar w:fldCharType="begin"/>
      </w:r>
      <w:r>
        <w:instrText xml:space="preserve"> HYPERLINK \l "_Toc25069" </w:instrText>
      </w:r>
      <w:r>
        <w:fldChar w:fldCharType="separate"/>
      </w:r>
      <w:r>
        <w:rPr>
          <w:rFonts w:hint="eastAsia" w:hAnsi="宋体" w:cs="宋体"/>
          <w:kern w:val="0"/>
          <w:lang w:bidi="ar"/>
        </w:rPr>
        <w:t>9.1</w:t>
      </w:r>
      <w:r>
        <w:rPr>
          <w:rFonts w:hint="eastAsia" w:hAnsi="宋体" w:cs="宋体"/>
          <w:kern w:val="0"/>
          <w:lang w:eastAsia="zh-CN" w:bidi="ar"/>
        </w:rPr>
        <w:t xml:space="preserve"> </w:t>
      </w:r>
      <w:r>
        <w:rPr>
          <w:rFonts w:hint="eastAsia" w:hAnsi="宋体" w:cs="宋体"/>
          <w:kern w:val="0"/>
          <w:lang w:bidi="ar"/>
        </w:rPr>
        <w:t>幼龄树管理</w:t>
      </w:r>
      <w:r>
        <w:rPr>
          <w:rFonts w:hint="eastAsia" w:hAnsi="宋体" w:cs="宋体"/>
        </w:rPr>
        <w:tab/>
      </w:r>
      <w:r>
        <w:rPr>
          <w:rFonts w:hint="eastAsia" w:hAnsi="宋体" w:cs="宋体"/>
        </w:rPr>
        <w:fldChar w:fldCharType="begin"/>
      </w:r>
      <w:r>
        <w:rPr>
          <w:rFonts w:hint="eastAsia" w:hAnsi="宋体" w:cs="宋体"/>
        </w:rPr>
        <w:instrText xml:space="preserve"> PAGEREF _Toc25069 \h </w:instrText>
      </w:r>
      <w:r>
        <w:rPr>
          <w:rFonts w:hint="eastAsia" w:hAnsi="宋体" w:cs="宋体"/>
        </w:rPr>
        <w:fldChar w:fldCharType="separate"/>
      </w:r>
      <w:r>
        <w:rPr>
          <w:rFonts w:hint="eastAsia" w:hAnsi="宋体" w:cs="宋体"/>
        </w:rPr>
        <w:t>11</w:t>
      </w:r>
      <w:r>
        <w:rPr>
          <w:rFonts w:hint="eastAsia" w:hAnsi="宋体" w:cs="宋体"/>
        </w:rPr>
        <w:fldChar w:fldCharType="end"/>
      </w:r>
      <w:r>
        <w:rPr>
          <w:rFonts w:hint="eastAsia" w:hAnsi="宋体" w:cs="宋体"/>
        </w:rPr>
        <w:fldChar w:fldCharType="end"/>
      </w:r>
    </w:p>
    <w:p w14:paraId="33A56418">
      <w:pPr>
        <w:pStyle w:val="25"/>
        <w:tabs>
          <w:tab w:val="right" w:leader="dot" w:pos="9354"/>
          <w:tab w:val="clear" w:pos="9344"/>
        </w:tabs>
        <w:rPr>
          <w:rFonts w:hAnsi="宋体" w:cs="宋体"/>
        </w:rPr>
      </w:pPr>
      <w:r>
        <w:fldChar w:fldCharType="begin"/>
      </w:r>
      <w:r>
        <w:instrText xml:space="preserve"> HYPERLINK \l "_Toc1895" </w:instrText>
      </w:r>
      <w:r>
        <w:fldChar w:fldCharType="separate"/>
      </w:r>
      <w:r>
        <w:rPr>
          <w:rFonts w:hint="eastAsia" w:hAnsi="宋体" w:cs="宋体"/>
          <w:kern w:val="0"/>
          <w:lang w:bidi="ar"/>
        </w:rPr>
        <w:t>9.2</w:t>
      </w:r>
      <w:r>
        <w:rPr>
          <w:rFonts w:hint="eastAsia" w:hAnsi="宋体" w:cs="宋体"/>
          <w:kern w:val="0"/>
          <w:lang w:eastAsia="zh-CN" w:bidi="ar"/>
        </w:rPr>
        <w:t xml:space="preserve"> </w:t>
      </w:r>
      <w:r>
        <w:rPr>
          <w:rFonts w:hint="eastAsia" w:hAnsi="宋体" w:cs="宋体"/>
          <w:kern w:val="0"/>
          <w:lang w:bidi="ar"/>
        </w:rPr>
        <w:t>结果树管理</w:t>
      </w:r>
      <w:r>
        <w:rPr>
          <w:rFonts w:hint="eastAsia" w:hAnsi="宋体" w:cs="宋体"/>
        </w:rPr>
        <w:tab/>
      </w:r>
      <w:r>
        <w:rPr>
          <w:rFonts w:hint="eastAsia" w:hAnsi="宋体" w:cs="宋体"/>
        </w:rPr>
        <w:fldChar w:fldCharType="begin"/>
      </w:r>
      <w:r>
        <w:rPr>
          <w:rFonts w:hint="eastAsia" w:hAnsi="宋体" w:cs="宋体"/>
        </w:rPr>
        <w:instrText xml:space="preserve"> PAGEREF _Toc1895 \h </w:instrText>
      </w:r>
      <w:r>
        <w:rPr>
          <w:rFonts w:hint="eastAsia" w:hAnsi="宋体" w:cs="宋体"/>
        </w:rPr>
        <w:fldChar w:fldCharType="separate"/>
      </w:r>
      <w:r>
        <w:rPr>
          <w:rFonts w:hint="eastAsia" w:hAnsi="宋体" w:cs="宋体"/>
        </w:rPr>
        <w:t>12</w:t>
      </w:r>
      <w:r>
        <w:rPr>
          <w:rFonts w:hint="eastAsia" w:hAnsi="宋体" w:cs="宋体"/>
        </w:rPr>
        <w:fldChar w:fldCharType="end"/>
      </w:r>
      <w:r>
        <w:rPr>
          <w:rFonts w:hint="eastAsia" w:hAnsi="宋体" w:cs="宋体"/>
        </w:rPr>
        <w:fldChar w:fldCharType="end"/>
      </w:r>
    </w:p>
    <w:p w14:paraId="6AFDB133">
      <w:pPr>
        <w:pStyle w:val="20"/>
        <w:tabs>
          <w:tab w:val="right" w:leader="dot" w:pos="9354"/>
        </w:tabs>
        <w:rPr>
          <w:rFonts w:hAnsi="宋体" w:cs="宋体"/>
        </w:rPr>
      </w:pPr>
      <w:r>
        <w:fldChar w:fldCharType="begin"/>
      </w:r>
      <w:r>
        <w:instrText xml:space="preserve"> HYPERLINK \l "_Toc23956" </w:instrText>
      </w:r>
      <w:r>
        <w:fldChar w:fldCharType="separate"/>
      </w:r>
      <w:r>
        <w:rPr>
          <w:rFonts w:hint="eastAsia" w:hAnsi="宋体" w:cs="宋体"/>
        </w:rPr>
        <w:t>10</w:t>
      </w:r>
      <w:r>
        <w:rPr>
          <w:rFonts w:hint="eastAsia" w:hAnsi="宋体" w:cs="宋体"/>
          <w:lang w:eastAsia="zh-CN"/>
        </w:rPr>
        <w:t xml:space="preserve"> </w:t>
      </w:r>
      <w:r>
        <w:rPr>
          <w:rFonts w:hint="eastAsia" w:hAnsi="宋体" w:cs="宋体"/>
        </w:rPr>
        <w:t>病虫害防控</w:t>
      </w:r>
      <w:r>
        <w:rPr>
          <w:rFonts w:hint="eastAsia" w:hAnsi="宋体" w:cs="宋体"/>
        </w:rPr>
        <w:tab/>
      </w:r>
      <w:r>
        <w:rPr>
          <w:rFonts w:hint="eastAsia" w:hAnsi="宋体" w:cs="宋体"/>
        </w:rPr>
        <w:fldChar w:fldCharType="begin"/>
      </w:r>
      <w:r>
        <w:rPr>
          <w:rFonts w:hint="eastAsia" w:hAnsi="宋体" w:cs="宋体"/>
        </w:rPr>
        <w:instrText xml:space="preserve"> PAGEREF _Toc23956 \h </w:instrText>
      </w:r>
      <w:r>
        <w:rPr>
          <w:rFonts w:hint="eastAsia" w:hAnsi="宋体" w:cs="宋体"/>
        </w:rPr>
        <w:fldChar w:fldCharType="separate"/>
      </w:r>
      <w:r>
        <w:rPr>
          <w:rFonts w:hint="eastAsia" w:hAnsi="宋体" w:cs="宋体"/>
        </w:rPr>
        <w:t>13</w:t>
      </w:r>
      <w:r>
        <w:rPr>
          <w:rFonts w:hint="eastAsia" w:hAnsi="宋体" w:cs="宋体"/>
        </w:rPr>
        <w:fldChar w:fldCharType="end"/>
      </w:r>
      <w:r>
        <w:rPr>
          <w:rFonts w:hint="eastAsia" w:hAnsi="宋体" w:cs="宋体"/>
        </w:rPr>
        <w:fldChar w:fldCharType="end"/>
      </w:r>
    </w:p>
    <w:p w14:paraId="2183F27B">
      <w:pPr>
        <w:pStyle w:val="25"/>
        <w:tabs>
          <w:tab w:val="right" w:leader="dot" w:pos="9354"/>
          <w:tab w:val="clear" w:pos="9344"/>
        </w:tabs>
        <w:rPr>
          <w:rFonts w:hAnsi="宋体" w:cs="宋体"/>
        </w:rPr>
      </w:pPr>
      <w:r>
        <w:fldChar w:fldCharType="begin"/>
      </w:r>
      <w:r>
        <w:instrText xml:space="preserve"> HYPERLINK \l "_Toc16433" </w:instrText>
      </w:r>
      <w:r>
        <w:fldChar w:fldCharType="separate"/>
      </w:r>
      <w:r>
        <w:rPr>
          <w:rFonts w:hint="eastAsia" w:hAnsi="宋体" w:cs="宋体"/>
          <w:kern w:val="0"/>
          <w:lang w:bidi="ar"/>
        </w:rPr>
        <w:t>10.1</w:t>
      </w:r>
      <w:r>
        <w:rPr>
          <w:rFonts w:hint="eastAsia" w:hAnsi="宋体" w:cs="宋体"/>
          <w:kern w:val="0"/>
          <w:lang w:eastAsia="zh-CN" w:bidi="ar"/>
        </w:rPr>
        <w:t xml:space="preserve"> </w:t>
      </w:r>
      <w:r>
        <w:rPr>
          <w:rFonts w:hint="eastAsia" w:hAnsi="宋体" w:cs="宋体"/>
          <w:kern w:val="0"/>
          <w:lang w:bidi="ar"/>
        </w:rPr>
        <w:t>主要病虫害</w:t>
      </w:r>
      <w:r>
        <w:rPr>
          <w:rFonts w:hint="eastAsia" w:hAnsi="宋体" w:cs="宋体"/>
        </w:rPr>
        <w:tab/>
      </w:r>
      <w:r>
        <w:rPr>
          <w:rFonts w:hint="eastAsia" w:hAnsi="宋体" w:cs="宋体"/>
        </w:rPr>
        <w:fldChar w:fldCharType="begin"/>
      </w:r>
      <w:r>
        <w:rPr>
          <w:rFonts w:hint="eastAsia" w:hAnsi="宋体" w:cs="宋体"/>
        </w:rPr>
        <w:instrText xml:space="preserve"> PAGEREF _Toc16433 \h </w:instrText>
      </w:r>
      <w:r>
        <w:rPr>
          <w:rFonts w:hint="eastAsia" w:hAnsi="宋体" w:cs="宋体"/>
        </w:rPr>
        <w:fldChar w:fldCharType="separate"/>
      </w:r>
      <w:r>
        <w:rPr>
          <w:rFonts w:hint="eastAsia" w:hAnsi="宋体" w:cs="宋体"/>
        </w:rPr>
        <w:t>13</w:t>
      </w:r>
      <w:r>
        <w:rPr>
          <w:rFonts w:hint="eastAsia" w:hAnsi="宋体" w:cs="宋体"/>
        </w:rPr>
        <w:fldChar w:fldCharType="end"/>
      </w:r>
      <w:r>
        <w:rPr>
          <w:rFonts w:hint="eastAsia" w:hAnsi="宋体" w:cs="宋体"/>
        </w:rPr>
        <w:fldChar w:fldCharType="end"/>
      </w:r>
    </w:p>
    <w:p w14:paraId="5DFA2363">
      <w:pPr>
        <w:pStyle w:val="25"/>
        <w:tabs>
          <w:tab w:val="right" w:leader="dot" w:pos="9354"/>
          <w:tab w:val="clear" w:pos="9344"/>
        </w:tabs>
        <w:rPr>
          <w:rFonts w:hAnsi="宋体" w:cs="宋体"/>
        </w:rPr>
      </w:pPr>
      <w:r>
        <w:fldChar w:fldCharType="begin"/>
      </w:r>
      <w:r>
        <w:instrText xml:space="preserve"> HYPERLINK \l "_Toc32288" </w:instrText>
      </w:r>
      <w:r>
        <w:fldChar w:fldCharType="separate"/>
      </w:r>
      <w:r>
        <w:rPr>
          <w:rFonts w:hint="eastAsia" w:hAnsi="宋体" w:cs="宋体"/>
          <w:kern w:val="0"/>
          <w:lang w:bidi="ar"/>
        </w:rPr>
        <w:t>10.2</w:t>
      </w:r>
      <w:r>
        <w:rPr>
          <w:rFonts w:hint="eastAsia" w:hAnsi="宋体" w:cs="宋体"/>
          <w:kern w:val="0"/>
          <w:lang w:eastAsia="zh-CN" w:bidi="ar"/>
        </w:rPr>
        <w:t xml:space="preserve"> </w:t>
      </w:r>
      <w:r>
        <w:rPr>
          <w:rFonts w:hint="eastAsia" w:hAnsi="宋体" w:cs="宋体"/>
          <w:kern w:val="0"/>
          <w:lang w:bidi="ar"/>
        </w:rPr>
        <w:t>防治原则</w:t>
      </w:r>
      <w:r>
        <w:rPr>
          <w:rFonts w:hint="eastAsia" w:hAnsi="宋体" w:cs="宋体"/>
        </w:rPr>
        <w:tab/>
      </w:r>
      <w:r>
        <w:rPr>
          <w:rFonts w:hint="eastAsia" w:hAnsi="宋体" w:cs="宋体"/>
        </w:rPr>
        <w:fldChar w:fldCharType="begin"/>
      </w:r>
      <w:r>
        <w:rPr>
          <w:rFonts w:hint="eastAsia" w:hAnsi="宋体" w:cs="宋体"/>
        </w:rPr>
        <w:instrText xml:space="preserve"> PAGEREF _Toc32288 \h </w:instrText>
      </w:r>
      <w:r>
        <w:rPr>
          <w:rFonts w:hint="eastAsia" w:hAnsi="宋体" w:cs="宋体"/>
        </w:rPr>
        <w:fldChar w:fldCharType="separate"/>
      </w:r>
      <w:r>
        <w:rPr>
          <w:rFonts w:hint="eastAsia" w:hAnsi="宋体" w:cs="宋体"/>
        </w:rPr>
        <w:t>13</w:t>
      </w:r>
      <w:r>
        <w:rPr>
          <w:rFonts w:hint="eastAsia" w:hAnsi="宋体" w:cs="宋体"/>
        </w:rPr>
        <w:fldChar w:fldCharType="end"/>
      </w:r>
      <w:r>
        <w:rPr>
          <w:rFonts w:hint="eastAsia" w:hAnsi="宋体" w:cs="宋体"/>
        </w:rPr>
        <w:fldChar w:fldCharType="end"/>
      </w:r>
    </w:p>
    <w:p w14:paraId="602C6A79">
      <w:pPr>
        <w:pStyle w:val="25"/>
        <w:tabs>
          <w:tab w:val="right" w:leader="dot" w:pos="9354"/>
          <w:tab w:val="clear" w:pos="9344"/>
        </w:tabs>
        <w:rPr>
          <w:rFonts w:hAnsi="宋体" w:cs="宋体"/>
        </w:rPr>
      </w:pPr>
      <w:r>
        <w:fldChar w:fldCharType="begin"/>
      </w:r>
      <w:r>
        <w:instrText xml:space="preserve"> HYPERLINK \l "_Toc4977" </w:instrText>
      </w:r>
      <w:r>
        <w:fldChar w:fldCharType="separate"/>
      </w:r>
      <w:r>
        <w:rPr>
          <w:rFonts w:hint="eastAsia" w:hAnsi="宋体" w:cs="宋体"/>
          <w:kern w:val="0"/>
          <w:lang w:bidi="ar"/>
        </w:rPr>
        <w:t>10.3</w:t>
      </w:r>
      <w:r>
        <w:rPr>
          <w:rFonts w:hint="eastAsia" w:hAnsi="宋体" w:cs="宋体"/>
          <w:kern w:val="0"/>
          <w:lang w:eastAsia="zh-CN" w:bidi="ar"/>
        </w:rPr>
        <w:t xml:space="preserve"> </w:t>
      </w:r>
      <w:r>
        <w:rPr>
          <w:rFonts w:hint="eastAsia" w:hAnsi="宋体" w:cs="宋体"/>
          <w:kern w:val="0"/>
          <w:lang w:bidi="ar"/>
        </w:rPr>
        <w:t>农业防治</w:t>
      </w:r>
      <w:r>
        <w:rPr>
          <w:rFonts w:hint="eastAsia" w:hAnsi="宋体" w:cs="宋体"/>
        </w:rPr>
        <w:tab/>
      </w:r>
      <w:r>
        <w:rPr>
          <w:rFonts w:hint="eastAsia" w:hAnsi="宋体" w:cs="宋体"/>
        </w:rPr>
        <w:fldChar w:fldCharType="begin"/>
      </w:r>
      <w:r>
        <w:rPr>
          <w:rFonts w:hint="eastAsia" w:hAnsi="宋体" w:cs="宋体"/>
        </w:rPr>
        <w:instrText xml:space="preserve"> PAGEREF _Toc4977 \h </w:instrText>
      </w:r>
      <w:r>
        <w:rPr>
          <w:rFonts w:hint="eastAsia" w:hAnsi="宋体" w:cs="宋体"/>
        </w:rPr>
        <w:fldChar w:fldCharType="separate"/>
      </w:r>
      <w:r>
        <w:rPr>
          <w:rFonts w:hint="eastAsia" w:hAnsi="宋体" w:cs="宋体"/>
        </w:rPr>
        <w:t>1</w:t>
      </w:r>
      <w:r>
        <w:rPr>
          <w:rFonts w:hint="eastAsia" w:hAnsi="宋体" w:cs="宋体"/>
          <w:lang w:val="en-US" w:eastAsia="zh-CN"/>
        </w:rPr>
        <w:t>4</w:t>
      </w:r>
      <w:r>
        <w:rPr>
          <w:rFonts w:hint="eastAsia" w:hAnsi="宋体" w:cs="宋体"/>
        </w:rPr>
        <w:fldChar w:fldCharType="end"/>
      </w:r>
      <w:r>
        <w:rPr>
          <w:rFonts w:hint="eastAsia" w:hAnsi="宋体" w:cs="宋体"/>
        </w:rPr>
        <w:fldChar w:fldCharType="end"/>
      </w:r>
    </w:p>
    <w:p w14:paraId="22FD982C">
      <w:pPr>
        <w:pStyle w:val="25"/>
        <w:tabs>
          <w:tab w:val="right" w:leader="dot" w:pos="9354"/>
          <w:tab w:val="clear" w:pos="9344"/>
        </w:tabs>
        <w:rPr>
          <w:rFonts w:hAnsi="宋体" w:cs="宋体"/>
        </w:rPr>
      </w:pPr>
      <w:r>
        <w:fldChar w:fldCharType="begin"/>
      </w:r>
      <w:r>
        <w:instrText xml:space="preserve"> HYPERLINK \l "_Toc9422" </w:instrText>
      </w:r>
      <w:r>
        <w:fldChar w:fldCharType="separate"/>
      </w:r>
      <w:r>
        <w:rPr>
          <w:rFonts w:hint="eastAsia" w:hAnsi="宋体" w:cs="宋体"/>
          <w:kern w:val="0"/>
          <w:lang w:bidi="ar"/>
        </w:rPr>
        <w:t>10.4</w:t>
      </w:r>
      <w:r>
        <w:rPr>
          <w:rFonts w:hint="eastAsia" w:hAnsi="宋体" w:cs="宋体"/>
          <w:kern w:val="0"/>
          <w:lang w:eastAsia="zh-CN" w:bidi="ar"/>
        </w:rPr>
        <w:t xml:space="preserve"> </w:t>
      </w:r>
      <w:r>
        <w:rPr>
          <w:rFonts w:hint="eastAsia" w:hAnsi="宋体" w:cs="宋体"/>
          <w:kern w:val="0"/>
          <w:lang w:bidi="ar"/>
        </w:rPr>
        <w:t>物理防治</w:t>
      </w:r>
      <w:r>
        <w:rPr>
          <w:rFonts w:hint="eastAsia" w:hAnsi="宋体" w:cs="宋体"/>
        </w:rPr>
        <w:tab/>
      </w:r>
      <w:r>
        <w:rPr>
          <w:rFonts w:hint="eastAsia" w:hAnsi="宋体" w:cs="宋体"/>
        </w:rPr>
        <w:fldChar w:fldCharType="begin"/>
      </w:r>
      <w:r>
        <w:rPr>
          <w:rFonts w:hint="eastAsia" w:hAnsi="宋体" w:cs="宋体"/>
        </w:rPr>
        <w:instrText xml:space="preserve"> PAGEREF _Toc9422 \h </w:instrText>
      </w:r>
      <w:r>
        <w:rPr>
          <w:rFonts w:hint="eastAsia" w:hAnsi="宋体" w:cs="宋体"/>
        </w:rPr>
        <w:fldChar w:fldCharType="separate"/>
      </w:r>
      <w:r>
        <w:rPr>
          <w:rFonts w:hint="eastAsia" w:hAnsi="宋体" w:cs="宋体"/>
        </w:rPr>
        <w:t>14</w:t>
      </w:r>
      <w:r>
        <w:rPr>
          <w:rFonts w:hint="eastAsia" w:hAnsi="宋体" w:cs="宋体"/>
        </w:rPr>
        <w:fldChar w:fldCharType="end"/>
      </w:r>
      <w:r>
        <w:rPr>
          <w:rFonts w:hint="eastAsia" w:hAnsi="宋体" w:cs="宋体"/>
        </w:rPr>
        <w:fldChar w:fldCharType="end"/>
      </w:r>
    </w:p>
    <w:p w14:paraId="75C39F41">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"_Toc184"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10.5</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生物防治</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_Toc184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14</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6CC1878F">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"_Toc28972"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10.6</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药剂防治</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_Toc28972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14</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77A5808">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"_Toc13992"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11</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采收与商品化处理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_Toc13992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14</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0B901815">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"_Toc30552"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11.1</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采收</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_Toc30552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14</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31F883B2">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"_Toc16591"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11.2</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商品化处理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_Toc16591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14</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9F48176">
      <w:pPr>
        <w:pStyle w:val="20"/>
        <w:tabs>
          <w:tab w:val="right" w:leader="dot" w:pos="9354"/>
        </w:tabs>
        <w:ind w:firstLine="210" w:firstLineChars="100"/>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"_Toc17670"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lang w:val="en-US" w:eastAsia="zh-CN"/>
          <w14:textFill>
            <w14:solidFill>
              <w14:schemeClr w14:val="tx1"/>
            </w14:solidFill>
          </w14:textFill>
        </w:rPr>
        <w:t xml:space="preserve">11.3 </w:t>
      </w:r>
      <w:r>
        <w:rPr>
          <w:rFonts w:hint="eastAsia" w:hAnsi="宋体" w:cs="宋体"/>
          <w:color w:val="000000" w:themeColor="text1"/>
          <w:highlight w:val="none"/>
          <w14:textFill>
            <w14:solidFill>
              <w14:schemeClr w14:val="tx1"/>
            </w14:solidFill>
          </w14:textFill>
        </w:rPr>
        <w:t>果品质量</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_Toc17670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14</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14176FF9">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"_Toc28181"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2</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包装与标识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_Toc28181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622F70B5">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"_Toc22045"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2</w:t>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包装</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_Toc22045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103B402">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"_Toc29117"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2</w:t>
      </w:r>
      <w:r>
        <w:rPr>
          <w:rFonts w:hint="eastAsia" w:hAnsi="宋体" w:cs="宋体"/>
          <w:color w:val="000000" w:themeColor="text1"/>
          <w:kern w:val="0"/>
          <w:highlight w:val="none"/>
          <w:lang w:bidi="ar"/>
          <w14:textFill>
            <w14:solidFill>
              <w14:schemeClr w14:val="tx1"/>
            </w14:solidFill>
          </w14:textFill>
        </w:rPr>
        <w:t>.2</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标识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_Toc29117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161D8BEB">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"_Toc13668"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3</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贮藏与运输</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_Toc13668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068D6C06">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"_Toc12748"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3</w:t>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贮藏</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_Toc12748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42BC18B7">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"_Toc1449"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3</w:t>
      </w:r>
      <w:r>
        <w:rPr>
          <w:rFonts w:hint="eastAsia" w:hAnsi="宋体" w:cs="宋体"/>
          <w:color w:val="000000" w:themeColor="text1"/>
          <w:kern w:val="0"/>
          <w:highlight w:val="none"/>
          <w:lang w:bidi="ar"/>
          <w14:textFill>
            <w14:solidFill>
              <w14:schemeClr w14:val="tx1"/>
            </w14:solidFill>
          </w14:textFill>
        </w:rPr>
        <w:t>.2</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运输</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_Toc1449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450CFBD9">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"_Toc6198"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4</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产品检测与准出管理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_Toc6198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1E2685BB">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"_Toc5704"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4</w:t>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安全监测</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_Toc5704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46E51EDD">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"_Toc27730"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16.2</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精准检测</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_Toc27730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EDDEC82">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"_Toc12329"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4</w:t>
      </w:r>
      <w:r>
        <w:rPr>
          <w:rFonts w:hint="eastAsia" w:hAnsi="宋体" w:cs="宋体"/>
          <w:color w:val="000000" w:themeColor="text1"/>
          <w:kern w:val="0"/>
          <w:highlight w:val="none"/>
          <w:lang w:bidi="ar"/>
          <w14:textFill>
            <w14:solidFill>
              <w14:schemeClr w14:val="tx1"/>
            </w14:solidFill>
          </w14:textFill>
        </w:rPr>
        <w:t>.3</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承诺达标合格证</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_Toc12329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7</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02C72A78">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"_Toc11952"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4</w:t>
      </w:r>
      <w:r>
        <w:rPr>
          <w:rFonts w:hint="eastAsia" w:hAnsi="宋体" w:cs="宋体"/>
          <w:color w:val="000000" w:themeColor="text1"/>
          <w:kern w:val="0"/>
          <w:highlight w:val="none"/>
          <w:lang w:bidi="ar"/>
          <w14:textFill>
            <w14:solidFill>
              <w14:schemeClr w14:val="tx1"/>
            </w14:solidFill>
          </w14:textFill>
        </w:rPr>
        <w:t>.4</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果品销售</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_Toc11952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2DB4FF02">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"_Toc16677"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5</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溯源管理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_Toc16677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13A7B929">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"_Toc23325"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5</w:t>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追溯目标和要求</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_Toc23325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247724AD">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"_Toc26334"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5</w:t>
      </w:r>
      <w:r>
        <w:rPr>
          <w:rFonts w:hint="eastAsia" w:hAnsi="宋体" w:cs="宋体"/>
          <w:color w:val="000000" w:themeColor="text1"/>
          <w:kern w:val="0"/>
          <w:highlight w:val="none"/>
          <w:lang w:bidi="ar"/>
          <w14:textFill>
            <w14:solidFill>
              <w14:schemeClr w14:val="tx1"/>
            </w14:solidFill>
          </w14:textFill>
        </w:rPr>
        <w:t>.2</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追溯标识</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_Toc26334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09C6BEF8">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"_Toc3472"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5</w:t>
      </w:r>
      <w:r>
        <w:rPr>
          <w:rFonts w:hint="eastAsia" w:hAnsi="宋体" w:cs="宋体"/>
          <w:color w:val="000000" w:themeColor="text1"/>
          <w:kern w:val="0"/>
          <w:highlight w:val="none"/>
          <w:lang w:bidi="ar"/>
          <w14:textFill>
            <w14:solidFill>
              <w14:schemeClr w14:val="tx1"/>
            </w14:solidFill>
          </w14:textFill>
        </w:rPr>
        <w:t>.3</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溯源编码</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_Toc3472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2898D376">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"_Toc30411"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5</w:t>
      </w:r>
      <w:r>
        <w:rPr>
          <w:rFonts w:hint="eastAsia" w:hAnsi="宋体" w:cs="宋体"/>
          <w:color w:val="000000" w:themeColor="text1"/>
          <w:kern w:val="0"/>
          <w:highlight w:val="none"/>
          <w:lang w:bidi="ar"/>
          <w14:textFill>
            <w14:solidFill>
              <w14:schemeClr w14:val="tx1"/>
            </w14:solidFill>
          </w14:textFill>
        </w:rPr>
        <w:t>.4</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溯源信息平台</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_Toc30411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09F52585">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"_Toc12696"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6</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农业社会化服务</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_Toc12696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1CAD1604">
      <w:pPr>
        <w:pStyle w:val="20"/>
        <w:tabs>
          <w:tab w:val="right" w:leader="dot" w:pos="9354"/>
        </w:tabs>
        <w:rPr>
          <w:rFonts w:hint="eastAsia"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"_Toc12904"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7</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14:textFill>
            <w14:solidFill>
              <w14:schemeClr w14:val="tx1"/>
            </w14:solidFill>
          </w14:textFill>
        </w:rPr>
        <w:t>品牌建设</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_Toc12904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B006BC4">
      <w:pPr>
        <w:pStyle w:val="20"/>
        <w:tabs>
          <w:tab w:val="right" w:leader="dot" w:pos="935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"_Toc4416"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lang w:eastAsia="zh-CN"/>
          <w14:textFill>
            <w14:solidFill>
              <w14:schemeClr w14:val="tx1"/>
            </w14:solidFill>
          </w14:textFill>
        </w:rPr>
        <w:t xml:space="preserve"> </w:t>
      </w:r>
      <w:r>
        <w:rPr>
          <w:rFonts w:hint="eastAsia" w:hAnsi="宋体" w:cs="宋体"/>
          <w:color w:val="000000" w:themeColor="text1"/>
          <w:highlight w:val="none"/>
          <w:lang w:val="en-US" w:eastAsia="zh-CN"/>
          <w14:textFill>
            <w14:solidFill>
              <w14:schemeClr w14:val="tx1"/>
            </w14:solidFill>
          </w14:textFill>
        </w:rPr>
        <w:t>证实方法</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_Toc4416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445C4566">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"_Toc29089"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8</w:t>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生产者档案</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_Toc29089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8</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4F41923">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"_Toc15616"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8</w:t>
      </w:r>
      <w:r>
        <w:rPr>
          <w:rFonts w:hint="eastAsia" w:hAnsi="宋体" w:cs="宋体"/>
          <w:color w:val="000000" w:themeColor="text1"/>
          <w:kern w:val="0"/>
          <w:highlight w:val="none"/>
          <w:lang w:bidi="ar"/>
          <w14:textFill>
            <w14:solidFill>
              <w14:schemeClr w14:val="tx1"/>
            </w14:solidFill>
          </w14:textFill>
        </w:rPr>
        <w:t>.2</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投入品档案</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_Toc15616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9</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69015684">
      <w:pPr>
        <w:pStyle w:val="25"/>
        <w:tabs>
          <w:tab w:val="right" w:leader="dot" w:pos="9354"/>
          <w:tab w:val="clear" w:pos="9344"/>
        </w:tabs>
        <w:rPr>
          <w:rFonts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"_Toc29580"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8</w:t>
      </w:r>
      <w:r>
        <w:rPr>
          <w:rFonts w:hint="eastAsia" w:hAnsi="宋体" w:cs="宋体"/>
          <w:color w:val="000000" w:themeColor="text1"/>
          <w:kern w:val="0"/>
          <w:highlight w:val="none"/>
          <w:lang w:bidi="ar"/>
          <w14:textFill>
            <w14:solidFill>
              <w14:schemeClr w14:val="tx1"/>
            </w14:solidFill>
          </w14:textFill>
        </w:rPr>
        <w:t>.3</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生产管理档案</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_Toc29580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9</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5A36EADB">
      <w:pPr>
        <w:pStyle w:val="25"/>
        <w:tabs>
          <w:tab w:val="right" w:leader="dot" w:pos="9354"/>
          <w:tab w:val="clear" w:pos="9344"/>
        </w:tabs>
        <w:rPr>
          <w:rFonts w:hint="eastAsia" w:hAnsi="宋体" w:cs="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"_Toc11097"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8</w:t>
      </w:r>
      <w:r>
        <w:rPr>
          <w:rFonts w:hint="eastAsia" w:hAnsi="宋体" w:cs="宋体"/>
          <w:color w:val="000000" w:themeColor="text1"/>
          <w:kern w:val="0"/>
          <w:highlight w:val="none"/>
          <w:lang w:bidi="ar"/>
          <w14:textFill>
            <w14:solidFill>
              <w14:schemeClr w14:val="tx1"/>
            </w14:solidFill>
          </w14:textFill>
        </w:rPr>
        <w:t>.4</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产品检测档案</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_Toc11097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9</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13FF73DC">
      <w:pPr>
        <w:pStyle w:val="25"/>
        <w:tabs>
          <w:tab w:val="right" w:leader="dot" w:pos="9354"/>
          <w:tab w:val="clear" w:pos="9344"/>
        </w:tabs>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"_Toc11097"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highlight w:val="none"/>
          <w:lang w:bidi="ar"/>
          <w14:textFill>
            <w14:solidFill>
              <w14:schemeClr w14:val="tx1"/>
            </w14:solidFill>
          </w14:textFill>
        </w:rPr>
        <w:t>1</w:t>
      </w:r>
      <w:r>
        <w:rPr>
          <w:rFonts w:hint="eastAsia" w:hAnsi="宋体" w:cs="宋体"/>
          <w:color w:val="000000" w:themeColor="text1"/>
          <w:kern w:val="0"/>
          <w:highlight w:val="none"/>
          <w:lang w:val="en-US" w:eastAsia="zh-CN" w:bidi="ar"/>
          <w14:textFill>
            <w14:solidFill>
              <w14:schemeClr w14:val="tx1"/>
            </w14:solidFill>
          </w14:textFill>
        </w:rPr>
        <w:t>8</w:t>
      </w:r>
      <w:r>
        <w:rPr>
          <w:rFonts w:hint="eastAsia" w:hAnsi="宋体" w:cs="宋体"/>
          <w:color w:val="000000" w:themeColor="text1"/>
          <w:kern w:val="0"/>
          <w:highlight w:val="none"/>
          <w:lang w:bidi="ar"/>
          <w14:textFill>
            <w14:solidFill>
              <w14:schemeClr w14:val="tx1"/>
            </w14:solidFill>
          </w14:textFill>
        </w:rPr>
        <w:t>.</w:t>
      </w:r>
      <w:r>
        <w:rPr>
          <w:rFonts w:hint="eastAsia" w:hAnsi="宋体" w:cs="宋体"/>
          <w:color w:val="000000" w:themeColor="text1"/>
          <w:kern w:val="0"/>
          <w:highlight w:val="none"/>
          <w:lang w:val="en-US" w:eastAsia="zh-CN" w:bidi="ar"/>
          <w14:textFill>
            <w14:solidFill>
              <w14:schemeClr w14:val="tx1"/>
            </w14:solidFill>
          </w14:textFill>
        </w:rPr>
        <w:t>5</w:t>
      </w:r>
      <w:r>
        <w:rPr>
          <w:rFonts w:hint="eastAsia" w:hAnsi="宋体" w:cs="宋体"/>
          <w:color w:val="000000" w:themeColor="text1"/>
          <w:kern w:val="0"/>
          <w:highlight w:val="none"/>
          <w:lang w:eastAsia="zh-CN" w:bidi="ar"/>
          <w14:textFill>
            <w14:solidFill>
              <w14:schemeClr w14:val="tx1"/>
            </w14:solidFill>
          </w14:textFill>
        </w:rPr>
        <w:t xml:space="preserve"> </w:t>
      </w:r>
      <w:r>
        <w:rPr>
          <w:rFonts w:hint="eastAsia" w:hAnsi="宋体" w:cs="宋体"/>
          <w:color w:val="000000" w:themeColor="text1"/>
          <w:kern w:val="0"/>
          <w:highlight w:val="none"/>
          <w:lang w:bidi="ar"/>
          <w14:textFill>
            <w14:solidFill>
              <w14:schemeClr w14:val="tx1"/>
            </w14:solidFill>
          </w14:textFill>
        </w:rPr>
        <w:t>产品销售档案</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_Toc11097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1</w:t>
      </w:r>
      <w:r>
        <w:rPr>
          <w:rFonts w:hint="eastAsia" w:hAnsi="宋体" w:cs="宋体"/>
          <w:color w:val="000000" w:themeColor="text1"/>
          <w:highlight w:val="none"/>
          <w:lang w:val="en-US" w:eastAsia="zh-CN"/>
          <w14:textFill>
            <w14:solidFill>
              <w14:schemeClr w14:val="tx1"/>
            </w14:solidFill>
          </w14:textFill>
        </w:rPr>
        <w:t>9</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373261DC">
      <w:pPr>
        <w:pStyle w:val="20"/>
        <w:tabs>
          <w:tab w:val="right" w:leader="dot" w:pos="9354"/>
        </w:tabs>
        <w:rPr>
          <w:rFonts w:hAnsi="宋体" w:cs="宋体"/>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"_Toc7744" </w:instrText>
      </w:r>
      <w:r>
        <w:rPr>
          <w:color w:val="000000" w:themeColor="text1"/>
          <w:highlight w:val="none"/>
          <w14:textFill>
            <w14:solidFill>
              <w14:schemeClr w14:val="tx1"/>
            </w14:solidFill>
          </w14:textFill>
        </w:rPr>
        <w:fldChar w:fldCharType="separate"/>
      </w:r>
      <w:r>
        <w:rPr>
          <w:rFonts w:hint="eastAsia" w:hAnsi="宋体" w:cs="宋体"/>
          <w:color w:val="000000" w:themeColor="text1"/>
          <w:kern w:val="0"/>
          <w:szCs w:val="20"/>
          <w:highlight w:val="none"/>
          <w14:textFill>
            <w14:solidFill>
              <w14:schemeClr w14:val="tx1"/>
            </w14:solidFill>
          </w14:textFill>
        </w:rPr>
        <w:t>附录A</w:t>
      </w:r>
      <w:r>
        <w:rPr>
          <w:rFonts w:hint="eastAsia" w:hAnsi="宋体" w:cs="宋体"/>
          <w:color w:val="000000" w:themeColor="text1"/>
          <w:kern w:val="0"/>
          <w:szCs w:val="20"/>
          <w:highlight w:val="none"/>
          <w14:textFill>
            <w14:solidFill>
              <w14:schemeClr w14:val="tx1"/>
            </w14:solidFill>
          </w14:textFill>
        </w:rPr>
        <w:fldChar w:fldCharType="end"/>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"_Toc18959"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（资料性）</w:t>
      </w:r>
      <w:r>
        <w:rPr>
          <w:rFonts w:hint="eastAsia" w:hAnsi="宋体" w:cs="宋体"/>
          <w:color w:val="000000" w:themeColor="text1"/>
          <w:highlight w:val="none"/>
          <w14:textFill>
            <w14:solidFill>
              <w14:schemeClr w14:val="tx1"/>
            </w14:solidFill>
          </w14:textFill>
        </w:rPr>
        <w:fldChar w:fldCharType="end"/>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"_Toc2575" </w:instrText>
      </w:r>
      <w:r>
        <w:rPr>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不同品种菠萝蜜果实主要特征</w:t>
      </w:r>
      <w:r>
        <w:rPr>
          <w:rFonts w:hint="eastAsia" w:hAnsi="宋体" w:cs="宋体"/>
          <w:color w:val="000000" w:themeColor="text1"/>
          <w:highlight w:val="none"/>
          <w14:textFill>
            <w14:solidFill>
              <w14:schemeClr w14:val="tx1"/>
            </w14:solidFill>
          </w14:textFill>
        </w:rPr>
        <w:tab/>
      </w:r>
      <w:r>
        <w:rPr>
          <w:rFonts w:hint="eastAsia" w:hAnsi="宋体" w:cs="宋体"/>
          <w:color w:val="000000" w:themeColor="text1"/>
          <w:highlight w:val="none"/>
          <w14:textFill>
            <w14:solidFill>
              <w14:schemeClr w14:val="tx1"/>
            </w14:solidFill>
          </w14:textFill>
        </w:rPr>
        <w:fldChar w:fldCharType="begin"/>
      </w:r>
      <w:r>
        <w:rPr>
          <w:rFonts w:hint="eastAsia" w:hAnsi="宋体" w:cs="宋体"/>
          <w:color w:val="000000" w:themeColor="text1"/>
          <w:highlight w:val="none"/>
          <w14:textFill>
            <w14:solidFill>
              <w14:schemeClr w14:val="tx1"/>
            </w14:solidFill>
          </w14:textFill>
        </w:rPr>
        <w:instrText xml:space="preserve"> PAGEREF _Toc2575 \h </w:instrText>
      </w:r>
      <w:r>
        <w:rPr>
          <w:rFonts w:hint="eastAsia" w:hAnsi="宋体" w:cs="宋体"/>
          <w:color w:val="000000" w:themeColor="text1"/>
          <w:highlight w:val="none"/>
          <w14:textFill>
            <w14:solidFill>
              <w14:schemeClr w14:val="tx1"/>
            </w14:solidFill>
          </w14:textFill>
        </w:rPr>
        <w:fldChar w:fldCharType="separate"/>
      </w:r>
      <w:r>
        <w:rPr>
          <w:rFonts w:hint="eastAsia" w:hAnsi="宋体" w:cs="宋体"/>
          <w:color w:val="000000" w:themeColor="text1"/>
          <w:highlight w:val="none"/>
          <w14:textFill>
            <w14:solidFill>
              <w14:schemeClr w14:val="tx1"/>
            </w14:solidFill>
          </w14:textFill>
        </w:rPr>
        <w:t>20</w:t>
      </w:r>
      <w:r>
        <w:rPr>
          <w:rFonts w:hint="eastAsia" w:hAnsi="宋体" w:cs="宋体"/>
          <w:color w:val="000000" w:themeColor="text1"/>
          <w:highlight w:val="none"/>
          <w14:textFill>
            <w14:solidFill>
              <w14:schemeClr w14:val="tx1"/>
            </w14:solidFill>
          </w14:textFill>
        </w:rPr>
        <w:fldChar w:fldCharType="end"/>
      </w:r>
      <w:r>
        <w:rPr>
          <w:rFonts w:hint="eastAsia" w:hAnsi="宋体" w:cs="宋体"/>
          <w:color w:val="000000" w:themeColor="text1"/>
          <w:highlight w:val="none"/>
          <w14:textFill>
            <w14:solidFill>
              <w14:schemeClr w14:val="tx1"/>
            </w14:solidFill>
          </w14:textFill>
        </w:rPr>
        <w:fldChar w:fldCharType="end"/>
      </w:r>
    </w:p>
    <w:p w14:paraId="22E0F690">
      <w:pPr>
        <w:pStyle w:val="20"/>
        <w:tabs>
          <w:tab w:val="right" w:leader="dot" w:pos="9354"/>
        </w:tabs>
        <w:rPr>
          <w:rFonts w:hAnsi="宋体" w:cs="宋体"/>
        </w:rPr>
      </w:pPr>
      <w:r>
        <w:fldChar w:fldCharType="begin"/>
      </w:r>
      <w:r>
        <w:instrText xml:space="preserve"> HYPERLINK \l "_Toc2931" </w:instrText>
      </w:r>
      <w:r>
        <w:fldChar w:fldCharType="separate"/>
      </w:r>
      <w:r>
        <w:rPr>
          <w:rFonts w:hint="eastAsia" w:hAnsi="宋体" w:cs="宋体"/>
          <w:kern w:val="0"/>
          <w:szCs w:val="20"/>
        </w:rPr>
        <w:t>附录B</w:t>
      </w:r>
      <w:r>
        <w:rPr>
          <w:rFonts w:hint="eastAsia" w:hAnsi="宋体" w:cs="宋体"/>
          <w:kern w:val="0"/>
          <w:szCs w:val="20"/>
        </w:rPr>
        <w:fldChar w:fldCharType="end"/>
      </w:r>
      <w:r>
        <w:fldChar w:fldCharType="begin"/>
      </w:r>
      <w:r>
        <w:instrText xml:space="preserve"> HYPERLINK \l "_Toc24592" </w:instrText>
      </w:r>
      <w:r>
        <w:fldChar w:fldCharType="separate"/>
      </w:r>
      <w:r>
        <w:rPr>
          <w:rFonts w:hint="eastAsia" w:hAnsi="宋体" w:cs="宋体"/>
          <w:kern w:val="0"/>
          <w:szCs w:val="20"/>
        </w:rPr>
        <w:t>（资料性）</w:t>
      </w:r>
      <w:r>
        <w:rPr>
          <w:rFonts w:hint="eastAsia" w:hAnsi="宋体" w:cs="宋体"/>
          <w:kern w:val="0"/>
          <w:szCs w:val="20"/>
        </w:rPr>
        <w:fldChar w:fldCharType="end"/>
      </w:r>
      <w:r>
        <w:fldChar w:fldCharType="begin"/>
      </w:r>
      <w:r>
        <w:instrText xml:space="preserve"> HYPERLINK \l "_Toc16654" </w:instrText>
      </w:r>
      <w:r>
        <w:fldChar w:fldCharType="separate"/>
      </w:r>
      <w:r>
        <w:rPr>
          <w:rFonts w:hint="eastAsia" w:hAnsi="宋体" w:cs="宋体"/>
          <w:kern w:val="0"/>
          <w:szCs w:val="20"/>
        </w:rPr>
        <w:t>菠萝蜜种苗嫁接方法和步骤示意图</w:t>
      </w:r>
      <w:r>
        <w:rPr>
          <w:rFonts w:hint="eastAsia" w:hAnsi="宋体" w:cs="宋体"/>
        </w:rPr>
        <w:tab/>
      </w:r>
      <w:r>
        <w:rPr>
          <w:rFonts w:hint="eastAsia" w:hAnsi="宋体" w:cs="宋体"/>
        </w:rPr>
        <w:fldChar w:fldCharType="begin"/>
      </w:r>
      <w:r>
        <w:rPr>
          <w:rFonts w:hint="eastAsia" w:hAnsi="宋体" w:cs="宋体"/>
        </w:rPr>
        <w:instrText xml:space="preserve"> PAGEREF _Toc16654 \h </w:instrText>
      </w:r>
      <w:r>
        <w:rPr>
          <w:rFonts w:hint="eastAsia" w:hAnsi="宋体" w:cs="宋体"/>
        </w:rPr>
        <w:fldChar w:fldCharType="separate"/>
      </w:r>
      <w:r>
        <w:rPr>
          <w:rFonts w:hint="eastAsia" w:hAnsi="宋体" w:cs="宋体"/>
        </w:rPr>
        <w:t>21</w:t>
      </w:r>
      <w:r>
        <w:rPr>
          <w:rFonts w:hint="eastAsia" w:hAnsi="宋体" w:cs="宋体"/>
        </w:rPr>
        <w:fldChar w:fldCharType="end"/>
      </w:r>
      <w:r>
        <w:rPr>
          <w:rFonts w:hint="eastAsia" w:hAnsi="宋体" w:cs="宋体"/>
        </w:rPr>
        <w:fldChar w:fldCharType="end"/>
      </w:r>
    </w:p>
    <w:p w14:paraId="2B5FAA49">
      <w:pPr>
        <w:pStyle w:val="20"/>
        <w:tabs>
          <w:tab w:val="right" w:leader="dot" w:pos="9354"/>
        </w:tabs>
        <w:rPr>
          <w:rFonts w:hAnsi="宋体" w:cs="宋体"/>
        </w:rPr>
      </w:pPr>
      <w:r>
        <w:fldChar w:fldCharType="begin"/>
      </w:r>
      <w:r>
        <w:instrText xml:space="preserve"> HYPERLINK \l "_Toc1538" </w:instrText>
      </w:r>
      <w:r>
        <w:fldChar w:fldCharType="separate"/>
      </w:r>
      <w:r>
        <w:rPr>
          <w:rFonts w:hint="eastAsia" w:hAnsi="宋体" w:cs="宋体"/>
          <w:kern w:val="0"/>
          <w:szCs w:val="20"/>
        </w:rPr>
        <w:t>附录C</w:t>
      </w:r>
      <w:r>
        <w:rPr>
          <w:rFonts w:hint="eastAsia" w:hAnsi="宋体" w:cs="宋体"/>
          <w:kern w:val="0"/>
          <w:szCs w:val="20"/>
        </w:rPr>
        <w:fldChar w:fldCharType="end"/>
      </w:r>
      <w:r>
        <w:fldChar w:fldCharType="begin"/>
      </w:r>
      <w:r>
        <w:instrText xml:space="preserve"> HYPERLINK \l "_Toc12813" </w:instrText>
      </w:r>
      <w:r>
        <w:fldChar w:fldCharType="separate"/>
      </w:r>
      <w:r>
        <w:rPr>
          <w:rFonts w:hint="eastAsia" w:hAnsi="宋体" w:cs="宋体"/>
        </w:rPr>
        <w:t>（资料性）</w:t>
      </w:r>
      <w:r>
        <w:rPr>
          <w:rFonts w:hint="eastAsia" w:hAnsi="宋体" w:cs="宋体"/>
        </w:rPr>
        <w:fldChar w:fldCharType="end"/>
      </w:r>
      <w:r>
        <w:fldChar w:fldCharType="begin"/>
      </w:r>
      <w:r>
        <w:instrText xml:space="preserve"> HYPERLINK \l "_Toc25889" </w:instrText>
      </w:r>
      <w:r>
        <w:fldChar w:fldCharType="separate"/>
      </w:r>
      <w:r>
        <w:rPr>
          <w:rFonts w:hint="eastAsia" w:hAnsi="宋体" w:cs="宋体"/>
        </w:rPr>
        <w:t>菠萝蜜主要病害药剂防治措施</w:t>
      </w:r>
      <w:r>
        <w:rPr>
          <w:rFonts w:hint="eastAsia" w:hAnsi="宋体" w:cs="宋体"/>
        </w:rPr>
        <w:tab/>
      </w:r>
      <w:r>
        <w:rPr>
          <w:rFonts w:hint="eastAsia" w:hAnsi="宋体" w:cs="宋体"/>
        </w:rPr>
        <w:fldChar w:fldCharType="begin"/>
      </w:r>
      <w:r>
        <w:rPr>
          <w:rFonts w:hint="eastAsia" w:hAnsi="宋体" w:cs="宋体"/>
        </w:rPr>
        <w:instrText xml:space="preserve"> PAGEREF _Toc25889 \h </w:instrText>
      </w:r>
      <w:r>
        <w:rPr>
          <w:rFonts w:hint="eastAsia" w:hAnsi="宋体" w:cs="宋体"/>
        </w:rPr>
        <w:fldChar w:fldCharType="separate"/>
      </w:r>
      <w:r>
        <w:rPr>
          <w:rFonts w:hint="eastAsia" w:hAnsi="宋体" w:cs="宋体"/>
        </w:rPr>
        <w:t>22</w:t>
      </w:r>
      <w:r>
        <w:rPr>
          <w:rFonts w:hint="eastAsia" w:hAnsi="宋体" w:cs="宋体"/>
        </w:rPr>
        <w:fldChar w:fldCharType="end"/>
      </w:r>
      <w:r>
        <w:rPr>
          <w:rFonts w:hint="eastAsia" w:hAnsi="宋体" w:cs="宋体"/>
        </w:rPr>
        <w:fldChar w:fldCharType="end"/>
      </w:r>
    </w:p>
    <w:p w14:paraId="1014804C">
      <w:pPr>
        <w:pStyle w:val="20"/>
        <w:tabs>
          <w:tab w:val="right" w:leader="dot" w:pos="9354"/>
        </w:tabs>
        <w:rPr>
          <w:rFonts w:hAnsi="宋体" w:cs="宋体"/>
        </w:rPr>
      </w:pPr>
      <w:r>
        <w:fldChar w:fldCharType="begin"/>
      </w:r>
      <w:r>
        <w:instrText xml:space="preserve"> HYPERLINK \l "_Toc28280" </w:instrText>
      </w:r>
      <w:r>
        <w:fldChar w:fldCharType="separate"/>
      </w:r>
      <w:r>
        <w:rPr>
          <w:rFonts w:hint="eastAsia" w:hAnsi="宋体" w:cs="宋体"/>
          <w:kern w:val="0"/>
          <w:szCs w:val="20"/>
        </w:rPr>
        <w:t>附录 D</w:t>
      </w:r>
      <w:r>
        <w:rPr>
          <w:rFonts w:hint="eastAsia" w:hAnsi="宋体" w:cs="宋体"/>
          <w:kern w:val="0"/>
          <w:szCs w:val="20"/>
        </w:rPr>
        <w:fldChar w:fldCharType="end"/>
      </w:r>
      <w:r>
        <w:fldChar w:fldCharType="begin"/>
      </w:r>
      <w:r>
        <w:instrText xml:space="preserve"> HYPERLINK \l "_Toc21033" </w:instrText>
      </w:r>
      <w:r>
        <w:fldChar w:fldCharType="separate"/>
      </w:r>
      <w:r>
        <w:rPr>
          <w:rFonts w:hint="eastAsia" w:hAnsi="宋体" w:cs="宋体"/>
        </w:rPr>
        <w:t>（资料性）</w:t>
      </w:r>
      <w:r>
        <w:rPr>
          <w:rFonts w:hint="eastAsia" w:hAnsi="宋体" w:cs="宋体"/>
        </w:rPr>
        <w:fldChar w:fldCharType="end"/>
      </w:r>
      <w:r>
        <w:fldChar w:fldCharType="begin"/>
      </w:r>
      <w:r>
        <w:instrText xml:space="preserve"> HYPERLINK \l "_Toc12707" </w:instrText>
      </w:r>
      <w:r>
        <w:fldChar w:fldCharType="separate"/>
      </w:r>
      <w:r>
        <w:rPr>
          <w:rFonts w:hint="eastAsia" w:hAnsi="宋体" w:cs="宋体"/>
        </w:rPr>
        <w:t>菠萝蜜主要害虫防治措施</w:t>
      </w:r>
      <w:r>
        <w:rPr>
          <w:rFonts w:hint="eastAsia" w:hAnsi="宋体" w:cs="宋体"/>
        </w:rPr>
        <w:tab/>
      </w:r>
      <w:r>
        <w:rPr>
          <w:rFonts w:hint="eastAsia" w:hAnsi="宋体" w:cs="宋体"/>
        </w:rPr>
        <w:fldChar w:fldCharType="begin"/>
      </w:r>
      <w:r>
        <w:rPr>
          <w:rFonts w:hint="eastAsia" w:hAnsi="宋体" w:cs="宋体"/>
        </w:rPr>
        <w:instrText xml:space="preserve"> PAGEREF _Toc12707 \h </w:instrText>
      </w:r>
      <w:r>
        <w:rPr>
          <w:rFonts w:hint="eastAsia" w:hAnsi="宋体" w:cs="宋体"/>
        </w:rPr>
        <w:fldChar w:fldCharType="separate"/>
      </w:r>
      <w:r>
        <w:rPr>
          <w:rFonts w:hint="eastAsia" w:hAnsi="宋体" w:cs="宋体"/>
        </w:rPr>
        <w:t>24</w:t>
      </w:r>
      <w:r>
        <w:rPr>
          <w:rFonts w:hint="eastAsia" w:hAnsi="宋体" w:cs="宋体"/>
        </w:rPr>
        <w:fldChar w:fldCharType="end"/>
      </w:r>
      <w:r>
        <w:rPr>
          <w:rFonts w:hint="eastAsia" w:hAnsi="宋体" w:cs="宋体"/>
        </w:rPr>
        <w:fldChar w:fldCharType="end"/>
      </w:r>
    </w:p>
    <w:p w14:paraId="7D8AABE9">
      <w:pPr>
        <w:pStyle w:val="20"/>
        <w:tabs>
          <w:tab w:val="right" w:leader="dot" w:pos="9354"/>
        </w:tabs>
        <w:rPr>
          <w:rFonts w:hAnsi="宋体" w:cs="宋体"/>
        </w:rPr>
      </w:pPr>
      <w:r>
        <w:fldChar w:fldCharType="begin"/>
      </w:r>
      <w:r>
        <w:instrText xml:space="preserve"> HYPERLINK \l "_Toc5763" </w:instrText>
      </w:r>
      <w:r>
        <w:fldChar w:fldCharType="separate"/>
      </w:r>
      <w:r>
        <w:rPr>
          <w:rFonts w:hint="eastAsia" w:hAnsi="宋体" w:cs="宋体"/>
          <w:kern w:val="0"/>
          <w:szCs w:val="20"/>
        </w:rPr>
        <w:t>附录E</w:t>
      </w:r>
      <w:r>
        <w:rPr>
          <w:rFonts w:hint="eastAsia" w:hAnsi="宋体" w:cs="宋体"/>
          <w:kern w:val="0"/>
          <w:szCs w:val="20"/>
        </w:rPr>
        <w:fldChar w:fldCharType="end"/>
      </w:r>
      <w:r>
        <w:fldChar w:fldCharType="begin"/>
      </w:r>
      <w:r>
        <w:instrText xml:space="preserve"> HYPERLINK \l "_Toc13615" </w:instrText>
      </w:r>
      <w:r>
        <w:fldChar w:fldCharType="separate"/>
      </w:r>
      <w:r>
        <w:rPr>
          <w:rFonts w:hint="eastAsia" w:hAnsi="宋体" w:cs="宋体"/>
        </w:rPr>
        <w:t>（资料性）</w:t>
      </w:r>
      <w:r>
        <w:rPr>
          <w:rFonts w:hint="eastAsia" w:hAnsi="宋体" w:cs="宋体"/>
        </w:rPr>
        <w:fldChar w:fldCharType="end"/>
      </w:r>
      <w:r>
        <w:fldChar w:fldCharType="begin"/>
      </w:r>
      <w:r>
        <w:instrText xml:space="preserve"> HYPERLINK \l "_Toc11190" </w:instrText>
      </w:r>
      <w:r>
        <w:fldChar w:fldCharType="separate"/>
      </w:r>
      <w:r>
        <w:rPr>
          <w:rFonts w:hint="eastAsia" w:hAnsi="宋体" w:cs="宋体"/>
        </w:rPr>
        <w:t>菠萝蜜感官检验记录表</w:t>
      </w:r>
      <w:r>
        <w:rPr>
          <w:rFonts w:hint="eastAsia" w:hAnsi="宋体" w:cs="宋体"/>
        </w:rPr>
        <w:tab/>
      </w:r>
      <w:r>
        <w:rPr>
          <w:rFonts w:hint="eastAsia" w:hAnsi="宋体" w:cs="宋体"/>
        </w:rPr>
        <w:fldChar w:fldCharType="begin"/>
      </w:r>
      <w:r>
        <w:rPr>
          <w:rFonts w:hint="eastAsia" w:hAnsi="宋体" w:cs="宋体"/>
        </w:rPr>
        <w:instrText xml:space="preserve"> PAGEREF _Toc11190 \h </w:instrText>
      </w:r>
      <w:r>
        <w:rPr>
          <w:rFonts w:hint="eastAsia" w:hAnsi="宋体" w:cs="宋体"/>
        </w:rPr>
        <w:fldChar w:fldCharType="separate"/>
      </w:r>
      <w:r>
        <w:rPr>
          <w:rFonts w:hint="eastAsia" w:hAnsi="宋体" w:cs="宋体"/>
        </w:rPr>
        <w:t>26</w:t>
      </w:r>
      <w:r>
        <w:rPr>
          <w:rFonts w:hint="eastAsia" w:hAnsi="宋体" w:cs="宋体"/>
        </w:rPr>
        <w:fldChar w:fldCharType="end"/>
      </w:r>
      <w:r>
        <w:rPr>
          <w:rFonts w:hint="eastAsia" w:hAnsi="宋体" w:cs="宋体"/>
        </w:rPr>
        <w:fldChar w:fldCharType="end"/>
      </w:r>
    </w:p>
    <w:p w14:paraId="4BF214B6">
      <w:pPr>
        <w:pStyle w:val="20"/>
        <w:tabs>
          <w:tab w:val="right" w:leader="dot" w:pos="9354"/>
        </w:tabs>
        <w:rPr>
          <w:rFonts w:hAnsi="宋体" w:cs="宋体"/>
        </w:rPr>
      </w:pPr>
      <w:r>
        <w:fldChar w:fldCharType="begin"/>
      </w:r>
      <w:r>
        <w:instrText xml:space="preserve"> HYPERLINK \l "_Toc24876" </w:instrText>
      </w:r>
      <w:r>
        <w:fldChar w:fldCharType="separate"/>
      </w:r>
      <w:r>
        <w:rPr>
          <w:rFonts w:hint="eastAsia" w:hAnsi="宋体" w:cs="宋体"/>
          <w:kern w:val="0"/>
          <w:szCs w:val="20"/>
        </w:rPr>
        <w:t>参考文献</w:t>
      </w:r>
      <w:r>
        <w:rPr>
          <w:rFonts w:hint="eastAsia" w:hAnsi="宋体" w:cs="宋体"/>
        </w:rPr>
        <w:tab/>
      </w:r>
      <w:r>
        <w:rPr>
          <w:rFonts w:hint="eastAsia" w:hAnsi="宋体" w:cs="宋体"/>
        </w:rPr>
        <w:fldChar w:fldCharType="begin"/>
      </w:r>
      <w:r>
        <w:rPr>
          <w:rFonts w:hint="eastAsia" w:hAnsi="宋体" w:cs="宋体"/>
        </w:rPr>
        <w:instrText xml:space="preserve"> PAGEREF _Toc24876 \h </w:instrText>
      </w:r>
      <w:r>
        <w:rPr>
          <w:rFonts w:hint="eastAsia" w:hAnsi="宋体" w:cs="宋体"/>
        </w:rPr>
        <w:fldChar w:fldCharType="separate"/>
      </w:r>
      <w:r>
        <w:rPr>
          <w:rFonts w:hint="eastAsia" w:hAnsi="宋体" w:cs="宋体"/>
        </w:rPr>
        <w:t>27</w:t>
      </w:r>
      <w:r>
        <w:rPr>
          <w:rFonts w:hint="eastAsia" w:hAnsi="宋体" w:cs="宋体"/>
        </w:rPr>
        <w:fldChar w:fldCharType="end"/>
      </w:r>
      <w:r>
        <w:rPr>
          <w:rFonts w:hint="eastAsia" w:hAnsi="宋体" w:cs="宋体"/>
        </w:rPr>
        <w:fldChar w:fldCharType="end"/>
      </w:r>
    </w:p>
    <w:p w14:paraId="211168C1">
      <w:pPr>
        <w:pStyle w:val="91"/>
        <w:spacing w:after="360"/>
        <w:rPr>
          <w:rFonts w:ascii="宋体" w:hAnsi="宋体" w:eastAsia="宋体" w:cs="宋体"/>
        </w:rPr>
      </w:pPr>
      <w:r>
        <w:rPr>
          <w:rFonts w:hint="eastAsia" w:ascii="宋体" w:hAnsi="宋体" w:eastAsia="宋体" w:cs="宋体"/>
          <w:szCs w:val="21"/>
          <w:lang w:bidi="ar"/>
        </w:rPr>
        <w:fldChar w:fldCharType="end"/>
      </w:r>
    </w:p>
    <w:p w14:paraId="33EC7766">
      <w:r>
        <w:rPr>
          <w:rFonts w:hint="eastAsia" w:ascii="宋体" w:hAnsi="宋体" w:cs="宋体"/>
          <w:kern w:val="0"/>
          <w:lang w:bidi="ar"/>
        </w:rPr>
        <w:br w:type="page"/>
      </w:r>
    </w:p>
    <w:p w14:paraId="11AD623E">
      <w:pPr>
        <w:pStyle w:val="91"/>
        <w:spacing w:after="360"/>
      </w:pPr>
      <w:bookmarkStart w:id="22" w:name="_Toc19315"/>
      <w:bookmarkStart w:id="23" w:name="_Toc11287"/>
      <w:r>
        <w:rPr>
          <w:spacing w:val="320"/>
        </w:rPr>
        <w:t>前</w:t>
      </w:r>
      <w:r>
        <w:t>言</w:t>
      </w:r>
      <w:bookmarkEnd w:id="22"/>
      <w:bookmarkEnd w:id="23"/>
    </w:p>
    <w:p w14:paraId="439EA45D">
      <w:pPr>
        <w:pStyle w:val="58"/>
        <w:ind w:firstLine="420"/>
      </w:pPr>
      <w:r>
        <w:rPr>
          <w:rFonts w:hint="eastAsia"/>
        </w:rPr>
        <w:t>本文件按照GB/T</w:t>
      </w:r>
      <w:r>
        <w:rPr>
          <w:rFonts w:hint="eastAsia"/>
          <w:lang w:eastAsia="zh-CN"/>
        </w:rPr>
        <w:t xml:space="preserve"> </w:t>
      </w:r>
      <w:r>
        <w:rPr>
          <w:rFonts w:hint="eastAsia"/>
        </w:rPr>
        <w:t>1.1-2020《标准化工作导则</w:t>
      </w:r>
      <w:r>
        <w:rPr>
          <w:rFonts w:hint="eastAsia"/>
          <w:lang w:eastAsia="zh-CN"/>
        </w:rPr>
        <w:t xml:space="preserve"> </w:t>
      </w:r>
      <w:r>
        <w:rPr>
          <w:rFonts w:hint="eastAsia"/>
        </w:rPr>
        <w:t>第1部分：标准化文件的结构和起草规则》的规定起草。</w:t>
      </w:r>
    </w:p>
    <w:p w14:paraId="38145455">
      <w:pPr>
        <w:pStyle w:val="58"/>
        <w:ind w:firstLine="420"/>
      </w:pPr>
      <w:r>
        <w:rPr>
          <w:rFonts w:hint="eastAsia"/>
        </w:rPr>
        <w:t>请注意本文件的某些内容可能涉及专利。本文件的发布机构不承担识别专利的责任。</w:t>
      </w:r>
    </w:p>
    <w:p w14:paraId="7EF424D4">
      <w:pPr>
        <w:pStyle w:val="58"/>
        <w:ind w:firstLine="420"/>
      </w:pPr>
      <w:r>
        <w:rPr>
          <w:rFonts w:hint="eastAsia"/>
        </w:rPr>
        <w:t>本文件由海南省农业农村厅提出并归口。</w:t>
      </w:r>
    </w:p>
    <w:p w14:paraId="7735E50E">
      <w:pPr>
        <w:pStyle w:val="58"/>
        <w:ind w:firstLine="420"/>
      </w:pPr>
      <w:r>
        <w:rPr>
          <w:rFonts w:hint="eastAsia"/>
        </w:rPr>
        <w:t>本文件起草单位：海南省农业科学院热带果树研究所、海南省现代农业检验检测预警防控中心、海南省标准化协会。</w:t>
      </w:r>
    </w:p>
    <w:p w14:paraId="69A136A8">
      <w:pPr>
        <w:pStyle w:val="58"/>
        <w:ind w:firstLine="420"/>
      </w:pPr>
      <w:r>
        <w:rPr>
          <w:rFonts w:hint="eastAsia"/>
        </w:rPr>
        <w:t>本文件主要起草人：</w:t>
      </w:r>
      <w:bookmarkStart w:id="24" w:name="OLE_LINK2"/>
      <w:r>
        <w:rPr>
          <w:rFonts w:hint="eastAsia"/>
        </w:rPr>
        <w:t>范鸿雁、佃锶佳、李晓慧、赵亚、肖敏、胡福初、刘慧转、李少卡、白丽、颜彩缤、李鹏声、何梅、杜磊。</w:t>
      </w:r>
      <w:bookmarkEnd w:id="24"/>
    </w:p>
    <w:p w14:paraId="68BAAC83">
      <w:pPr>
        <w:pStyle w:val="58"/>
        <w:ind w:firstLine="420"/>
      </w:pPr>
    </w:p>
    <w:p w14:paraId="5C79037E">
      <w:pPr>
        <w:pStyle w:val="58"/>
        <w:ind w:firstLine="420"/>
        <w:sectPr>
          <w:headerReference r:id="rId11" w:type="default"/>
          <w:footerReference r:id="rId12" w:type="default"/>
          <w:pgSz w:w="11906" w:h="16838"/>
          <w:pgMar w:top="2410" w:right="1134" w:bottom="1134" w:left="1134" w:header="1418" w:footer="1134" w:gutter="284"/>
          <w:pgNumType w:fmt="upperRoman" w:start="1"/>
          <w:cols w:space="425" w:num="1"/>
          <w:formProt w:val="0"/>
          <w:docGrid w:linePitch="312" w:charSpace="0"/>
        </w:sectPr>
      </w:pPr>
    </w:p>
    <w:bookmarkEnd w:id="21"/>
    <w:p w14:paraId="2987D3D0">
      <w:pPr>
        <w:spacing w:line="20" w:lineRule="exact"/>
        <w:jc w:val="center"/>
        <w:rPr>
          <w:rFonts w:ascii="黑体" w:hAnsi="黑体" w:eastAsia="黑体"/>
          <w:sz w:val="32"/>
          <w:szCs w:val="32"/>
        </w:rPr>
      </w:pPr>
      <w:bookmarkStart w:id="25" w:name="BookMark4"/>
    </w:p>
    <w:p w14:paraId="5AD5A0A3">
      <w:pPr>
        <w:spacing w:line="20" w:lineRule="exact"/>
        <w:jc w:val="center"/>
        <w:rPr>
          <w:rFonts w:ascii="黑体" w:hAnsi="黑体" w:eastAsia="黑体"/>
          <w:sz w:val="32"/>
          <w:szCs w:val="32"/>
        </w:rPr>
      </w:pPr>
    </w:p>
    <w:bookmarkEnd w:id="25"/>
    <w:sdt>
      <w:sdtPr>
        <w:rPr>
          <w:rFonts w:ascii="宋体" w:hAnsi="Times New Roman" w:eastAsia="宋体"/>
          <w:kern w:val="0"/>
          <w:sz w:val="21"/>
          <w:szCs w:val="20"/>
        </w:rPr>
        <w:tag w:val="NEW_STAND_NAME"/>
        <w:id w:val="226416012"/>
        <w:lock w:val="sdtLocked"/>
        <w:placeholder>
          <w:docPart w:val="{7d12f8d2-8d8e-49e7-a99c-1d215ccb848c}"/>
        </w:placeholder>
      </w:sdtPr>
      <w:sdtEndPr>
        <w:rPr>
          <w:rFonts w:ascii="宋体" w:hAnsi="Times New Roman" w:eastAsia="宋体"/>
          <w:kern w:val="0"/>
          <w:sz w:val="21"/>
          <w:szCs w:val="20"/>
        </w:rPr>
      </w:sdtEndPr>
      <w:sdtContent>
        <w:sdt>
          <w:sdtPr>
            <w:tag w:val="NEW_STAND_NAME"/>
            <w:id w:val="147477258"/>
            <w:lock w:val="sdtLocked"/>
            <w:placeholder>
              <w:docPart w:val="{1a647cf3-6fca-4586-9226-9a7109244fa5}"/>
            </w:placeholder>
          </w:sdtPr>
          <w:sdtContent>
            <w:p w14:paraId="50807165">
              <w:pPr>
                <w:pStyle w:val="179"/>
                <w:spacing w:before="240" w:beforeLines="100" w:after="528" w:afterLines="220"/>
              </w:pPr>
              <w:bookmarkStart w:id="26" w:name="NEW_STAND_NAME"/>
              <w:bookmarkStart w:id="27" w:name="BookMark5"/>
              <w:r>
                <w:rPr>
                  <w:rFonts w:hint="eastAsia"/>
                </w:rPr>
                <w:t>农产品全产业链生产规范</w:t>
              </w:r>
              <w:r>
                <w:rPr>
                  <w:rFonts w:hint="eastAsia"/>
                  <w:lang w:eastAsia="zh-CN"/>
                </w:rPr>
                <w:t xml:space="preserve"> </w:t>
              </w:r>
              <w:r>
                <w:rPr>
                  <w:rFonts w:hint="eastAsia"/>
                </w:rPr>
                <w:t>菠萝蜜</w:t>
              </w:r>
            </w:p>
          </w:sdtContent>
        </w:sdt>
        <w:bookmarkEnd w:id="26"/>
        <w:p w14:paraId="6A8B03E9">
          <w:pPr>
            <w:pStyle w:val="106"/>
            <w:spacing w:before="240" w:after="240"/>
            <w:rPr>
              <w:color w:val="000000" w:themeColor="text1"/>
              <w14:textFill>
                <w14:solidFill>
                  <w14:schemeClr w14:val="tx1"/>
                </w14:solidFill>
              </w14:textFill>
            </w:rPr>
          </w:pPr>
          <w:bookmarkStart w:id="28" w:name="_Toc30642"/>
          <w:bookmarkStart w:id="29" w:name="_Toc18529"/>
          <w:r>
            <w:rPr>
              <w:rFonts w:hint="eastAsia"/>
              <w:color w:val="000000" w:themeColor="text1"/>
              <w14:textFill>
                <w14:solidFill>
                  <w14:schemeClr w14:val="tx1"/>
                </w14:solidFill>
              </w14:textFill>
            </w:rPr>
            <w:t>范围</w:t>
          </w:r>
          <w:bookmarkEnd w:id="28"/>
          <w:bookmarkEnd w:id="29"/>
        </w:p>
        <w:p w14:paraId="7221E1C6">
          <w:pPr>
            <w:widowControl/>
            <w:spacing w:line="240" w:lineRule="auto"/>
            <w:ind w:firstLine="420" w:firstLineChars="200"/>
            <w:jc w:val="left"/>
            <w:rPr>
              <w:rFonts w:hint="default" w:ascii="宋体" w:hAnsi="宋体" w:eastAsia="宋体" w:cs="宋体"/>
              <w:color w:val="000000" w:themeColor="text1"/>
              <w:highlight w:val="yellow"/>
              <w:lang w:val="en-US" w:eastAsia="zh-CN"/>
              <w14:textFill>
                <w14:solidFill>
                  <w14:schemeClr w14:val="tx1"/>
                </w14:solidFill>
              </w14:textFill>
            </w:rPr>
          </w:pPr>
          <w:r>
            <w:rPr>
              <w:rFonts w:hint="eastAsia" w:ascii="宋体" w:hAnsi="宋体" w:cs="宋体"/>
              <w:color w:val="000000" w:themeColor="text1"/>
              <w14:textFill>
                <w14:solidFill>
                  <w14:schemeClr w14:val="tx1"/>
                </w14:solidFill>
              </w14:textFill>
            </w:rPr>
            <w:t>本文件规定了菠萝蜜（</w:t>
          </w:r>
          <w:r>
            <w:rPr>
              <w:rFonts w:hint="eastAsia" w:ascii="宋体" w:hAnsi="宋体" w:cs="宋体"/>
              <w:i/>
              <w:iCs/>
              <w:color w:val="000000" w:themeColor="text1"/>
              <w14:textFill>
                <w14:solidFill>
                  <w14:schemeClr w14:val="tx1"/>
                </w14:solidFill>
              </w14:textFill>
            </w:rPr>
            <w:t>Artocarpus heterophyllus</w:t>
          </w:r>
          <w:r>
            <w:rPr>
              <w:rFonts w:hint="eastAsia" w:ascii="宋体" w:hAnsi="宋体" w:cs="宋体"/>
              <w:color w:val="000000" w:themeColor="text1"/>
              <w14:textFill>
                <w14:solidFill>
                  <w14:schemeClr w14:val="tx1"/>
                </w14:solidFill>
              </w14:textFill>
            </w:rPr>
            <w:t xml:space="preserve"> Lam.）全产业链生产的术语和定义、产地环境、投入品管理、品种选择、种苗、果园建立、田间管理、病虫害防控、采收与商品化处理、包装与标识、贮藏与运输、生产档案、产品检测与准出管理、溯源管理、农业社会化服务和品牌建设等要求</w:t>
          </w:r>
          <w:r>
            <w:rPr>
              <w:rFonts w:hint="eastAsia" w:ascii="宋体" w:hAnsi="宋体" w:cs="宋体"/>
              <w:color w:val="000000" w:themeColor="text1"/>
              <w:lang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描述了对应的证实方法。</w:t>
          </w:r>
        </w:p>
        <w:p w14:paraId="18DF6ADC">
          <w:pPr>
            <w:widowControl/>
            <w:spacing w:line="240" w:lineRule="auto"/>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本文件适用菠萝蜜全产业链管理。</w:t>
          </w:r>
        </w:p>
        <w:p w14:paraId="4E132C33">
          <w:pPr>
            <w:pStyle w:val="106"/>
            <w:spacing w:before="240" w:after="240"/>
            <w:rPr>
              <w:color w:val="000000" w:themeColor="text1"/>
              <w14:textFill>
                <w14:solidFill>
                  <w14:schemeClr w14:val="tx1"/>
                </w14:solidFill>
              </w14:textFill>
            </w:rPr>
          </w:pPr>
          <w:bookmarkStart w:id="30" w:name="_Toc13633"/>
          <w:bookmarkStart w:id="31" w:name="_Toc15259"/>
          <w:r>
            <w:rPr>
              <w:rFonts w:hint="eastAsia"/>
              <w:color w:val="000000" w:themeColor="text1"/>
              <w14:textFill>
                <w14:solidFill>
                  <w14:schemeClr w14:val="tx1"/>
                </w14:solidFill>
              </w14:textFill>
            </w:rPr>
            <w:t>规范性引用文件</w:t>
          </w:r>
          <w:bookmarkEnd w:id="30"/>
          <w:bookmarkEnd w:id="31"/>
        </w:p>
        <w:p w14:paraId="509375CC">
          <w:pPr>
            <w:pStyle w:val="5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441AE1B6">
          <w:pPr>
            <w:pStyle w:val="58"/>
            <w:ind w:firstLine="420"/>
          </w:pPr>
          <w:bookmarkStart w:id="32" w:name="_Toc25395"/>
          <w:bookmarkStart w:id="33" w:name="_Toc12178"/>
          <w:r>
            <w:rPr>
              <w:rFonts w:hint="eastAsia"/>
            </w:rPr>
            <w:t>GB/T 191</w:t>
          </w:r>
          <w:r>
            <w:rPr>
              <w:rFonts w:hint="eastAsia"/>
              <w:lang w:eastAsia="zh-CN"/>
            </w:rPr>
            <w:t xml:space="preserve"> </w:t>
          </w:r>
          <w:r>
            <w:rPr>
              <w:rFonts w:hint="eastAsia"/>
            </w:rPr>
            <w:t>包装储运图形符号标志</w:t>
          </w:r>
        </w:p>
        <w:p w14:paraId="5651CB59">
          <w:pPr>
            <w:pStyle w:val="58"/>
            <w:ind w:firstLine="420"/>
          </w:pPr>
          <w:r>
            <w:rPr>
              <w:rFonts w:hint="eastAsia"/>
            </w:rPr>
            <w:t>GB 2762</w:t>
          </w:r>
          <w:r>
            <w:rPr>
              <w:rFonts w:hint="eastAsia"/>
              <w:lang w:eastAsia="zh-CN"/>
            </w:rPr>
            <w:t xml:space="preserve"> </w:t>
          </w:r>
          <w:r>
            <w:rPr>
              <w:rFonts w:hint="eastAsia"/>
            </w:rPr>
            <w:t>食品安全国家标准 食品中污染物限量</w:t>
          </w:r>
        </w:p>
        <w:p w14:paraId="1AF2F312">
          <w:pPr>
            <w:pStyle w:val="58"/>
            <w:ind w:firstLine="420"/>
          </w:pPr>
          <w:r>
            <w:rPr>
              <w:rFonts w:hint="eastAsia"/>
            </w:rPr>
            <w:t>GB 2763.1</w:t>
          </w:r>
          <w:r>
            <w:rPr>
              <w:rFonts w:hint="eastAsia"/>
              <w:lang w:eastAsia="zh-CN"/>
            </w:rPr>
            <w:t xml:space="preserve"> </w:t>
          </w:r>
          <w:r>
            <w:rPr>
              <w:rFonts w:hint="eastAsia"/>
            </w:rPr>
            <w:t>食品安全国家标准 食品中2,4-滴丁酸钠盐等112种农药最大残留限量</w:t>
          </w:r>
        </w:p>
        <w:p w14:paraId="7563B5EE">
          <w:pPr>
            <w:pStyle w:val="58"/>
            <w:ind w:firstLine="420"/>
          </w:pPr>
          <w:r>
            <w:rPr>
              <w:rFonts w:hint="eastAsia"/>
            </w:rPr>
            <w:t>GB 3095</w:t>
          </w:r>
          <w:r>
            <w:rPr>
              <w:rFonts w:hint="eastAsia"/>
              <w:lang w:eastAsia="zh-CN"/>
            </w:rPr>
            <w:t xml:space="preserve"> </w:t>
          </w:r>
          <w:r>
            <w:rPr>
              <w:rFonts w:hint="eastAsia"/>
            </w:rPr>
            <w:t>环境空气质量标准</w:t>
          </w:r>
        </w:p>
        <w:p w14:paraId="0D4754BD">
          <w:pPr>
            <w:pStyle w:val="58"/>
            <w:ind w:firstLine="420"/>
          </w:pPr>
          <w:r>
            <w:rPr>
              <w:rFonts w:hint="eastAsia"/>
            </w:rPr>
            <w:t>GB 4806.7</w:t>
          </w:r>
          <w:r>
            <w:rPr>
              <w:rFonts w:hint="eastAsia"/>
              <w:lang w:eastAsia="zh-CN"/>
            </w:rPr>
            <w:t xml:space="preserve"> </w:t>
          </w:r>
          <w:r>
            <w:rPr>
              <w:rFonts w:hint="eastAsia"/>
            </w:rPr>
            <w:t>食品安全国家标准 食品接触用塑料材料及制品</w:t>
          </w:r>
        </w:p>
        <w:p w14:paraId="048A9215">
          <w:pPr>
            <w:pStyle w:val="58"/>
            <w:ind w:firstLine="420"/>
          </w:pPr>
          <w:r>
            <w:rPr>
              <w:rFonts w:hint="eastAsia"/>
            </w:rPr>
            <w:t>GB 5084</w:t>
          </w:r>
          <w:r>
            <w:rPr>
              <w:rFonts w:hint="eastAsia"/>
              <w:lang w:eastAsia="zh-CN"/>
            </w:rPr>
            <w:t xml:space="preserve"> </w:t>
          </w:r>
          <w:r>
            <w:rPr>
              <w:rFonts w:hint="eastAsia"/>
            </w:rPr>
            <w:t>农田灌溉水质标准</w:t>
          </w:r>
        </w:p>
        <w:p w14:paraId="5312E4AD">
          <w:pPr>
            <w:pStyle w:val="58"/>
            <w:ind w:firstLine="420"/>
          </w:pPr>
          <w:r>
            <w:rPr>
              <w:rFonts w:hint="eastAsia"/>
            </w:rPr>
            <w:t>GB/T 5737</w:t>
          </w:r>
          <w:r>
            <w:rPr>
              <w:rFonts w:hint="eastAsia"/>
              <w:lang w:eastAsia="zh-CN"/>
            </w:rPr>
            <w:t xml:space="preserve"> </w:t>
          </w:r>
          <w:r>
            <w:rPr>
              <w:rFonts w:hint="eastAsia"/>
            </w:rPr>
            <w:t>食品塑料周转箱</w:t>
          </w:r>
        </w:p>
        <w:p w14:paraId="16DBB1C4">
          <w:pPr>
            <w:pStyle w:val="58"/>
            <w:ind w:firstLine="420"/>
          </w:pPr>
          <w:r>
            <w:rPr>
              <w:rFonts w:hint="eastAsia"/>
            </w:rPr>
            <w:t>GB/T 6543</w:t>
          </w:r>
          <w:r>
            <w:rPr>
              <w:rFonts w:hint="eastAsia"/>
              <w:lang w:eastAsia="zh-CN"/>
            </w:rPr>
            <w:t xml:space="preserve"> </w:t>
          </w:r>
          <w:r>
            <w:rPr>
              <w:rFonts w:hint="eastAsia"/>
            </w:rPr>
            <w:t>运输包装用单瓦楞纸箱和双瓦楞纸箱</w:t>
          </w:r>
        </w:p>
        <w:p w14:paraId="053F7BC8">
          <w:pPr>
            <w:pStyle w:val="58"/>
            <w:ind w:firstLine="420"/>
          </w:pPr>
          <w:r>
            <w:rPr>
              <w:rFonts w:hint="eastAsia"/>
            </w:rPr>
            <w:t>GB/T 8166</w:t>
          </w:r>
          <w:r>
            <w:rPr>
              <w:rFonts w:hint="eastAsia"/>
              <w:lang w:eastAsia="zh-CN"/>
            </w:rPr>
            <w:t xml:space="preserve"> </w:t>
          </w:r>
          <w:r>
            <w:rPr>
              <w:rFonts w:hint="eastAsia"/>
            </w:rPr>
            <w:t>缓冲包装设计</w:t>
          </w:r>
        </w:p>
        <w:p w14:paraId="6F7C5762">
          <w:pPr>
            <w:pStyle w:val="58"/>
            <w:ind w:firstLine="420"/>
          </w:pPr>
          <w:r>
            <w:rPr>
              <w:rFonts w:hint="eastAsia"/>
            </w:rPr>
            <w:t>GB/T 8321</w:t>
          </w:r>
          <w:r>
            <w:rPr>
              <w:rFonts w:hint="eastAsia"/>
              <w:lang w:eastAsia="zh-CN"/>
            </w:rPr>
            <w:t xml:space="preserve"> </w:t>
          </w:r>
          <w:r>
            <w:rPr>
              <w:rFonts w:hint="eastAsia"/>
            </w:rPr>
            <w:t>（所有部分）农药合理使用准则</w:t>
          </w:r>
        </w:p>
        <w:p w14:paraId="10313F7E">
          <w:pPr>
            <w:pStyle w:val="58"/>
            <w:ind w:firstLine="420"/>
          </w:pPr>
          <w:r>
            <w:rPr>
              <w:rFonts w:hint="eastAsia"/>
            </w:rPr>
            <w:t>GB/T 8855</w:t>
          </w:r>
          <w:r>
            <w:rPr>
              <w:rFonts w:hint="eastAsia"/>
              <w:lang w:eastAsia="zh-CN"/>
            </w:rPr>
            <w:t xml:space="preserve"> </w:t>
          </w:r>
          <w:r>
            <w:rPr>
              <w:rFonts w:hint="eastAsia"/>
            </w:rPr>
            <w:t>新鲜果蔬 取样方法</w:t>
          </w:r>
        </w:p>
        <w:p w14:paraId="4C5D8609">
          <w:pPr>
            <w:pStyle w:val="58"/>
            <w:ind w:firstLine="420"/>
          </w:pPr>
          <w:r>
            <w:rPr>
              <w:rFonts w:hint="eastAsia"/>
            </w:rPr>
            <w:t>GB/T 12123</w:t>
          </w:r>
          <w:r>
            <w:rPr>
              <w:rFonts w:hint="eastAsia"/>
              <w:lang w:eastAsia="zh-CN"/>
            </w:rPr>
            <w:t xml:space="preserve"> </w:t>
          </w:r>
          <w:r>
            <w:rPr>
              <w:rFonts w:hint="eastAsia"/>
            </w:rPr>
            <w:t>包装设计通用要求</w:t>
          </w:r>
        </w:p>
        <w:p w14:paraId="3AEBE920">
          <w:pPr>
            <w:pStyle w:val="58"/>
            <w:ind w:firstLine="420"/>
            <w:rPr>
              <w:rFonts w:hAnsi="宋体" w:cs="宋体"/>
              <w:szCs w:val="22"/>
            </w:rPr>
          </w:pPr>
          <w:r>
            <w:rPr>
              <w:rFonts w:hint="eastAsia" w:hAnsi="宋体" w:cs="宋体"/>
              <w:szCs w:val="22"/>
            </w:rPr>
            <w:t>GB 12456</w:t>
          </w:r>
          <w:r>
            <w:rPr>
              <w:rFonts w:hint="eastAsia"/>
              <w:lang w:eastAsia="zh-CN"/>
            </w:rPr>
            <w:t xml:space="preserve"> </w:t>
          </w:r>
          <w:r>
            <w:rPr>
              <w:rFonts w:hint="eastAsia" w:hAnsi="宋体" w:cs="宋体"/>
              <w:szCs w:val="22"/>
            </w:rPr>
            <w:t>食品安全国家标准 食品中总酸的测定（含第1号修改单）</w:t>
          </w:r>
        </w:p>
        <w:p w14:paraId="075B5302">
          <w:pPr>
            <w:pStyle w:val="58"/>
            <w:ind w:firstLine="420"/>
          </w:pPr>
          <w:r>
            <w:rPr>
              <w:rFonts w:hint="eastAsia"/>
            </w:rPr>
            <w:t>GB 15618</w:t>
          </w:r>
          <w:r>
            <w:rPr>
              <w:rFonts w:hint="eastAsia"/>
              <w:lang w:eastAsia="zh-CN"/>
            </w:rPr>
            <w:t xml:space="preserve"> </w:t>
          </w:r>
          <w:r>
            <w:rPr>
              <w:rFonts w:hint="eastAsia"/>
            </w:rPr>
            <w:t>土壤环境质量 农用地土壤污染风险管控标准（试行）</w:t>
          </w:r>
        </w:p>
        <w:p w14:paraId="558C3A28">
          <w:pPr>
            <w:pStyle w:val="58"/>
            <w:ind w:firstLine="420"/>
          </w:pPr>
          <w:r>
            <w:rPr>
              <w:rFonts w:hint="eastAsia"/>
            </w:rPr>
            <w:t>GB/T 16716.1</w:t>
          </w:r>
          <w:r>
            <w:rPr>
              <w:rFonts w:hint="eastAsia"/>
              <w:lang w:eastAsia="zh-CN"/>
            </w:rPr>
            <w:t xml:space="preserve"> </w:t>
          </w:r>
          <w:r>
            <w:rPr>
              <w:rFonts w:hint="eastAsia"/>
            </w:rPr>
            <w:t>包装与环境 第1部分：通则</w:t>
          </w:r>
        </w:p>
        <w:p w14:paraId="7FA006D7">
          <w:pPr>
            <w:pStyle w:val="58"/>
            <w:ind w:firstLine="420"/>
          </w:pPr>
          <w:r>
            <w:rPr>
              <w:rFonts w:hint="eastAsia"/>
            </w:rPr>
            <w:t>GB/T 17419</w:t>
          </w:r>
          <w:r>
            <w:rPr>
              <w:rFonts w:hint="eastAsia"/>
              <w:lang w:eastAsia="zh-CN"/>
            </w:rPr>
            <w:t xml:space="preserve"> </w:t>
          </w:r>
          <w:r>
            <w:rPr>
              <w:rFonts w:hint="eastAsia"/>
            </w:rPr>
            <w:t>含有机质叶面肥料</w:t>
          </w:r>
        </w:p>
        <w:p w14:paraId="39335F0A">
          <w:pPr>
            <w:pStyle w:val="58"/>
            <w:ind w:firstLine="420"/>
          </w:pPr>
          <w:r>
            <w:rPr>
              <w:rFonts w:hint="eastAsia"/>
            </w:rPr>
            <w:t>GB/T 17420</w:t>
          </w:r>
          <w:r>
            <w:rPr>
              <w:rFonts w:hint="eastAsia"/>
              <w:lang w:eastAsia="zh-CN"/>
            </w:rPr>
            <w:t xml:space="preserve"> </w:t>
          </w:r>
          <w:r>
            <w:rPr>
              <w:rFonts w:hint="eastAsia"/>
            </w:rPr>
            <w:t>微量元素叶面肥料</w:t>
          </w:r>
        </w:p>
        <w:p w14:paraId="02D1E312">
          <w:pPr>
            <w:pStyle w:val="58"/>
            <w:ind w:firstLine="420"/>
          </w:pPr>
          <w:r>
            <w:rPr>
              <w:rFonts w:hint="eastAsia"/>
            </w:rPr>
            <w:t>GB/T 28117</w:t>
          </w:r>
          <w:r>
            <w:rPr>
              <w:rFonts w:hint="eastAsia"/>
              <w:lang w:eastAsia="zh-CN"/>
            </w:rPr>
            <w:t xml:space="preserve"> </w:t>
          </w:r>
          <w:r>
            <w:rPr>
              <w:rFonts w:hint="eastAsia"/>
            </w:rPr>
            <w:t>食品包装用多层共挤膜、袋</w:t>
          </w:r>
        </w:p>
        <w:p w14:paraId="4900D43F">
          <w:pPr>
            <w:pStyle w:val="58"/>
            <w:ind w:firstLine="420"/>
          </w:pPr>
          <w:r>
            <w:rPr>
              <w:rFonts w:hint="eastAsia"/>
            </w:rPr>
            <w:t>GB/T 29373</w:t>
          </w:r>
          <w:r>
            <w:rPr>
              <w:rFonts w:hint="eastAsia"/>
              <w:lang w:eastAsia="zh-CN"/>
            </w:rPr>
            <w:t xml:space="preserve"> </w:t>
          </w:r>
          <w:r>
            <w:rPr>
              <w:rFonts w:hint="eastAsia"/>
            </w:rPr>
            <w:t>农产品追溯要求 果蔬</w:t>
          </w:r>
        </w:p>
        <w:p w14:paraId="3FDB6342">
          <w:pPr>
            <w:pStyle w:val="58"/>
            <w:ind w:firstLine="420"/>
          </w:pPr>
          <w:r>
            <w:rPr>
              <w:rFonts w:hint="eastAsia"/>
            </w:rPr>
            <w:t>GB/T 33129</w:t>
          </w:r>
          <w:r>
            <w:rPr>
              <w:rFonts w:hint="eastAsia"/>
              <w:lang w:eastAsia="zh-CN"/>
            </w:rPr>
            <w:t xml:space="preserve"> </w:t>
          </w:r>
          <w:r>
            <w:rPr>
              <w:rFonts w:hint="eastAsia"/>
            </w:rPr>
            <w:t>新鲜水果、蔬菜包装和冷链运输通用操作规程</w:t>
          </w:r>
        </w:p>
        <w:p w14:paraId="5E7BBACF">
          <w:pPr>
            <w:pStyle w:val="58"/>
            <w:ind w:firstLine="420"/>
          </w:pPr>
          <w:r>
            <w:rPr>
              <w:rFonts w:hint="eastAsia" w:hAnsi="宋体" w:cs="宋体"/>
              <w:szCs w:val="21"/>
              <w:lang w:bidi="ar"/>
            </w:rPr>
            <w:t>GB/T</w:t>
          </w:r>
          <w:r>
            <w:rPr>
              <w:rFonts w:hint="eastAsia"/>
            </w:rPr>
            <w:t xml:space="preserve"> </w:t>
          </w:r>
          <w:r>
            <w:rPr>
              <w:rFonts w:hint="eastAsia" w:hAnsi="宋体" w:cs="宋体"/>
              <w:szCs w:val="21"/>
              <w:lang w:bidi="ar"/>
            </w:rPr>
            <w:t>34343</w:t>
          </w:r>
          <w:r>
            <w:rPr>
              <w:rFonts w:hint="eastAsia"/>
              <w:lang w:eastAsia="zh-CN"/>
            </w:rPr>
            <w:t xml:space="preserve"> </w:t>
          </w:r>
          <w:r>
            <w:rPr>
              <w:rFonts w:hint="eastAsia" w:hAnsi="宋体" w:cs="宋体"/>
              <w:szCs w:val="21"/>
              <w:lang w:bidi="ar"/>
            </w:rPr>
            <w:t>农产品物流包装容器通用技术要求</w:t>
          </w:r>
        </w:p>
        <w:p w14:paraId="4BBA7D40">
          <w:pPr>
            <w:pStyle w:val="58"/>
            <w:ind w:firstLine="420"/>
          </w:pPr>
          <w:r>
            <w:t>GB/T 34344</w:t>
          </w:r>
          <w:r>
            <w:rPr>
              <w:rFonts w:hint="eastAsia"/>
              <w:lang w:eastAsia="zh-CN"/>
            </w:rPr>
            <w:t xml:space="preserve"> </w:t>
          </w:r>
          <w:r>
            <w:t>农产品物流包装材料通用技术要求</w:t>
          </w:r>
        </w:p>
        <w:p w14:paraId="4C63E939">
          <w:pPr>
            <w:pStyle w:val="58"/>
            <w:ind w:firstLine="420"/>
          </w:pPr>
          <w:r>
            <w:rPr>
              <w:rFonts w:hint="eastAsia"/>
            </w:rPr>
            <w:t>GB 38400</w:t>
          </w:r>
          <w:r>
            <w:rPr>
              <w:rFonts w:hint="eastAsia"/>
              <w:lang w:eastAsia="zh-CN"/>
            </w:rPr>
            <w:t xml:space="preserve"> </w:t>
          </w:r>
          <w:r>
            <w:rPr>
              <w:rFonts w:hint="eastAsia"/>
            </w:rPr>
            <w:t>肥料中有毒有害物质的限量要求</w:t>
          </w:r>
        </w:p>
        <w:p w14:paraId="2FF71BE8">
          <w:pPr>
            <w:pStyle w:val="58"/>
            <w:ind w:firstLine="420"/>
          </w:pPr>
          <w:r>
            <w:rPr>
              <w:rFonts w:hint="eastAsia"/>
            </w:rPr>
            <w:t>GB/T 39906</w:t>
          </w:r>
          <w:r>
            <w:rPr>
              <w:rFonts w:hint="eastAsia"/>
              <w:lang w:eastAsia="zh-CN"/>
            </w:rPr>
            <w:t xml:space="preserve"> </w:t>
          </w:r>
          <w:r>
            <w:rPr>
              <w:rFonts w:hint="eastAsia"/>
            </w:rPr>
            <w:t>品牌管理要求</w:t>
          </w:r>
        </w:p>
        <w:p w14:paraId="35F651D9">
          <w:pPr>
            <w:pStyle w:val="58"/>
            <w:ind w:firstLine="420"/>
          </w:pPr>
          <w:r>
            <w:rPr>
              <w:rFonts w:hint="eastAsia"/>
            </w:rPr>
            <w:t>GB/T 42478</w:t>
          </w:r>
          <w:r>
            <w:rPr>
              <w:rFonts w:hint="eastAsia"/>
              <w:lang w:eastAsia="zh-CN"/>
            </w:rPr>
            <w:t xml:space="preserve"> </w:t>
          </w:r>
          <w:r>
            <w:rPr>
              <w:rFonts w:hint="eastAsia"/>
            </w:rPr>
            <w:t>农产品生产档案记载规范</w:t>
          </w:r>
        </w:p>
        <w:p w14:paraId="45AEBF02">
          <w:pPr>
            <w:pStyle w:val="58"/>
            <w:ind w:firstLine="420"/>
          </w:pPr>
          <w:r>
            <w:rPr>
              <w:rFonts w:hint="eastAsia" w:hAnsi="宋体" w:cs="宋体"/>
              <w:szCs w:val="21"/>
              <w:lang w:bidi="ar"/>
            </w:rPr>
            <w:t>GB 43284</w:t>
          </w:r>
          <w:r>
            <w:rPr>
              <w:rFonts w:hint="eastAsia"/>
              <w:lang w:eastAsia="zh-CN"/>
            </w:rPr>
            <w:t xml:space="preserve"> </w:t>
          </w:r>
          <w:r>
            <w:rPr>
              <w:rFonts w:hint="eastAsia" w:hAnsi="宋体" w:cs="宋体"/>
              <w:szCs w:val="21"/>
              <w:lang w:bidi="ar"/>
            </w:rPr>
            <w:t>限制商品过度包装要求 生鲜食用农产品</w:t>
          </w:r>
        </w:p>
        <w:p w14:paraId="5BE28D03">
          <w:pPr>
            <w:pStyle w:val="58"/>
            <w:ind w:firstLine="420"/>
          </w:pPr>
          <w:r>
            <w:rPr>
              <w:rFonts w:hint="eastAsia"/>
            </w:rPr>
            <w:t>HJ 332</w:t>
          </w:r>
          <w:r>
            <w:rPr>
              <w:rFonts w:hint="eastAsia"/>
              <w:lang w:eastAsia="zh-CN"/>
            </w:rPr>
            <w:t xml:space="preserve"> </w:t>
          </w:r>
          <w:r>
            <w:rPr>
              <w:rFonts w:hint="eastAsia"/>
            </w:rPr>
            <w:t>食用农产品产地环境质量评价标准</w:t>
          </w:r>
        </w:p>
        <w:p w14:paraId="1D488B67">
          <w:pPr>
            <w:pStyle w:val="58"/>
            <w:ind w:firstLine="420"/>
          </w:pPr>
          <w:r>
            <w:rPr>
              <w:rFonts w:hint="eastAsia"/>
            </w:rPr>
            <w:t>NY/T 489</w:t>
          </w:r>
          <w:r>
            <w:rPr>
              <w:rFonts w:hint="eastAsia"/>
              <w:lang w:eastAsia="zh-CN"/>
            </w:rPr>
            <w:t xml:space="preserve"> </w:t>
          </w:r>
          <w:r>
            <w:rPr>
              <w:rFonts w:hint="eastAsia"/>
            </w:rPr>
            <w:t>木菠萝</w:t>
          </w:r>
        </w:p>
        <w:p w14:paraId="0318A3B2">
          <w:pPr>
            <w:pStyle w:val="58"/>
            <w:ind w:firstLine="420"/>
          </w:pPr>
          <w:r>
            <w:rPr>
              <w:rFonts w:hint="eastAsia"/>
            </w:rPr>
            <w:t>NY/T 496</w:t>
          </w:r>
          <w:r>
            <w:rPr>
              <w:rFonts w:hint="eastAsia"/>
              <w:lang w:eastAsia="zh-CN"/>
            </w:rPr>
            <w:t xml:space="preserve"> </w:t>
          </w:r>
          <w:r>
            <w:rPr>
              <w:rFonts w:hint="eastAsia"/>
            </w:rPr>
            <w:t>肥料合理使用准则 通则</w:t>
          </w:r>
        </w:p>
        <w:p w14:paraId="634C9CC2">
          <w:pPr>
            <w:pStyle w:val="58"/>
            <w:ind w:firstLine="420"/>
          </w:pPr>
          <w:r>
            <w:rPr>
              <w:rFonts w:hint="eastAsia"/>
            </w:rPr>
            <w:t>NY/T 525</w:t>
          </w:r>
          <w:r>
            <w:rPr>
              <w:rFonts w:hint="eastAsia"/>
              <w:lang w:eastAsia="zh-CN"/>
            </w:rPr>
            <w:t xml:space="preserve"> </w:t>
          </w:r>
          <w:r>
            <w:rPr>
              <w:rFonts w:hint="eastAsia"/>
            </w:rPr>
            <w:t>有机肥料</w:t>
          </w:r>
        </w:p>
        <w:p w14:paraId="0D26A80E">
          <w:pPr>
            <w:pStyle w:val="58"/>
            <w:ind w:firstLine="420"/>
          </w:pPr>
          <w:r>
            <w:rPr>
              <w:rFonts w:hint="eastAsia"/>
            </w:rPr>
            <w:t>NY/T 798</w:t>
          </w:r>
          <w:r>
            <w:rPr>
              <w:rFonts w:hint="eastAsia"/>
              <w:lang w:eastAsia="zh-CN"/>
            </w:rPr>
            <w:t xml:space="preserve"> </w:t>
          </w:r>
          <w:r>
            <w:rPr>
              <w:rFonts w:hint="eastAsia"/>
            </w:rPr>
            <w:t>复合微生物肥料</w:t>
          </w:r>
        </w:p>
        <w:p w14:paraId="1F09E8F2">
          <w:pPr>
            <w:pStyle w:val="58"/>
            <w:ind w:firstLine="420"/>
          </w:pPr>
          <w:r>
            <w:rPr>
              <w:rFonts w:hint="eastAsia"/>
            </w:rPr>
            <w:t>NY/T 1105</w:t>
          </w:r>
          <w:r>
            <w:rPr>
              <w:rFonts w:hint="eastAsia"/>
              <w:lang w:eastAsia="zh-CN"/>
            </w:rPr>
            <w:t xml:space="preserve"> </w:t>
          </w:r>
          <w:r>
            <w:rPr>
              <w:rFonts w:hint="eastAsia"/>
            </w:rPr>
            <w:t>肥料合理使用准则 氮肥</w:t>
          </w:r>
        </w:p>
        <w:p w14:paraId="5A3A46CE">
          <w:pPr>
            <w:pStyle w:val="58"/>
            <w:ind w:firstLine="420"/>
          </w:pPr>
          <w:r>
            <w:rPr>
              <w:rFonts w:hint="eastAsia" w:hAnsi="宋体" w:cs="宋体"/>
              <w:szCs w:val="21"/>
              <w:lang w:bidi="ar"/>
            </w:rPr>
            <w:t>NY/T 1473</w:t>
          </w:r>
          <w:r>
            <w:rPr>
              <w:rFonts w:hint="eastAsia" w:hAnsi="宋体" w:cs="宋体"/>
              <w:szCs w:val="21"/>
              <w:lang w:eastAsia="zh-CN" w:bidi="ar"/>
            </w:rPr>
            <w:t xml:space="preserve"> </w:t>
          </w:r>
          <w:r>
            <w:rPr>
              <w:rFonts w:hint="eastAsia" w:hAnsi="宋体" w:cs="宋体"/>
              <w:szCs w:val="21"/>
              <w:lang w:bidi="ar"/>
            </w:rPr>
            <w:t>木菠萝 种苗</w:t>
          </w:r>
        </w:p>
        <w:p w14:paraId="08BB4433">
          <w:pPr>
            <w:pStyle w:val="58"/>
            <w:ind w:firstLine="420"/>
          </w:pPr>
          <w:r>
            <w:rPr>
              <w:rFonts w:hint="eastAsia"/>
            </w:rPr>
            <w:t>NY/T 1535</w:t>
          </w:r>
          <w:r>
            <w:rPr>
              <w:rFonts w:hint="eastAsia"/>
              <w:lang w:eastAsia="zh-CN"/>
            </w:rPr>
            <w:t xml:space="preserve"> </w:t>
          </w:r>
          <w:r>
            <w:rPr>
              <w:rFonts w:hint="eastAsia"/>
            </w:rPr>
            <w:t>肥料合理使用准则 微生物肥料</w:t>
          </w:r>
        </w:p>
        <w:p w14:paraId="13341991">
          <w:pPr>
            <w:pStyle w:val="58"/>
            <w:ind w:firstLine="420"/>
          </w:pPr>
          <w:r>
            <w:rPr>
              <w:rFonts w:hint="eastAsia"/>
            </w:rPr>
            <w:t>NY/T 1761</w:t>
          </w:r>
          <w:r>
            <w:rPr>
              <w:rFonts w:hint="eastAsia"/>
              <w:lang w:eastAsia="zh-CN"/>
            </w:rPr>
            <w:t xml:space="preserve"> </w:t>
          </w:r>
          <w:r>
            <w:rPr>
              <w:rFonts w:hint="eastAsia"/>
            </w:rPr>
            <w:t>农产品质量安全追溯操作规程 通则</w:t>
          </w:r>
        </w:p>
        <w:p w14:paraId="50C59CA0">
          <w:pPr>
            <w:pStyle w:val="58"/>
            <w:ind w:firstLine="420"/>
          </w:pPr>
          <w:r>
            <w:rPr>
              <w:rFonts w:hint="eastAsia"/>
            </w:rPr>
            <w:t>NY/T 1762</w:t>
          </w:r>
          <w:r>
            <w:rPr>
              <w:rFonts w:hint="eastAsia"/>
              <w:lang w:eastAsia="zh-CN"/>
            </w:rPr>
            <w:t xml:space="preserve"> </w:t>
          </w:r>
          <w:r>
            <w:rPr>
              <w:rFonts w:hint="eastAsia"/>
            </w:rPr>
            <w:t>农产品质量安全追溯操作规程 水果</w:t>
          </w:r>
        </w:p>
        <w:p w14:paraId="481694DE">
          <w:pPr>
            <w:pStyle w:val="58"/>
            <w:ind w:firstLine="420"/>
          </w:pPr>
          <w:r>
            <w:rPr>
              <w:rFonts w:hint="eastAsia"/>
            </w:rPr>
            <w:t>NY/T 1778</w:t>
          </w:r>
          <w:r>
            <w:rPr>
              <w:rFonts w:hint="eastAsia"/>
              <w:lang w:eastAsia="zh-CN"/>
            </w:rPr>
            <w:t xml:space="preserve"> </w:t>
          </w:r>
          <w:r>
            <w:rPr>
              <w:rFonts w:hint="eastAsia"/>
            </w:rPr>
            <w:t>新鲜水果包装标识 通则</w:t>
          </w:r>
        </w:p>
        <w:p w14:paraId="2559F453">
          <w:pPr>
            <w:pStyle w:val="58"/>
            <w:ind w:firstLine="420"/>
          </w:pPr>
          <w:r>
            <w:rPr>
              <w:rFonts w:hint="eastAsia"/>
            </w:rPr>
            <w:t>NY/T 1868</w:t>
          </w:r>
          <w:r>
            <w:rPr>
              <w:rFonts w:hint="eastAsia"/>
              <w:lang w:eastAsia="zh-CN"/>
            </w:rPr>
            <w:t xml:space="preserve"> </w:t>
          </w:r>
          <w:r>
            <w:rPr>
              <w:rFonts w:hint="eastAsia"/>
            </w:rPr>
            <w:t>肥料合理使用准则 有机肥料</w:t>
          </w:r>
        </w:p>
        <w:p w14:paraId="06FEC84E">
          <w:pPr>
            <w:pStyle w:val="58"/>
            <w:ind w:firstLine="420"/>
          </w:pPr>
          <w:r>
            <w:rPr>
              <w:rFonts w:hint="eastAsia"/>
            </w:rPr>
            <w:t>NY/T 1869</w:t>
          </w:r>
          <w:r>
            <w:rPr>
              <w:rFonts w:hint="eastAsia"/>
              <w:lang w:eastAsia="zh-CN"/>
            </w:rPr>
            <w:t xml:space="preserve"> </w:t>
          </w:r>
          <w:r>
            <w:rPr>
              <w:rFonts w:hint="eastAsia"/>
            </w:rPr>
            <w:t>肥料合理使用准则 钾肥</w:t>
          </w:r>
        </w:p>
        <w:p w14:paraId="77571BFE">
          <w:pPr>
            <w:pStyle w:val="58"/>
            <w:ind w:firstLine="420"/>
            <w:rPr>
              <w:rFonts w:hAnsi="宋体" w:cs="宋体"/>
              <w:szCs w:val="22"/>
            </w:rPr>
          </w:pPr>
          <w:r>
            <w:rPr>
              <w:rFonts w:hint="eastAsia" w:hAnsi="宋体" w:cs="宋体"/>
              <w:szCs w:val="22"/>
            </w:rPr>
            <w:t>NY/T 2637</w:t>
          </w:r>
          <w:r>
            <w:rPr>
              <w:rFonts w:hint="eastAsia"/>
              <w:lang w:eastAsia="zh-CN"/>
            </w:rPr>
            <w:t xml:space="preserve"> </w:t>
          </w:r>
          <w:r>
            <w:rPr>
              <w:rFonts w:hint="eastAsia" w:hAnsi="宋体" w:cs="宋体"/>
              <w:szCs w:val="22"/>
            </w:rPr>
            <w:t>水果和蔬菜可溶性固形物含量的测定 折射仪法</w:t>
          </w:r>
        </w:p>
        <w:p w14:paraId="63D9E04C">
          <w:pPr>
            <w:pStyle w:val="58"/>
            <w:ind w:firstLine="420"/>
            <w:rPr>
              <w:rFonts w:hAnsi="宋体" w:cs="宋体"/>
              <w:szCs w:val="22"/>
            </w:rPr>
          </w:pPr>
          <w:r>
            <w:rPr>
              <w:rFonts w:hint="eastAsia"/>
            </w:rPr>
            <w:t>NY/T 4169</w:t>
          </w:r>
          <w:r>
            <w:rPr>
              <w:rFonts w:hint="eastAsia"/>
              <w:lang w:eastAsia="zh-CN"/>
            </w:rPr>
            <w:t xml:space="preserve"> </w:t>
          </w:r>
          <w:r>
            <w:rPr>
              <w:rFonts w:hint="eastAsia"/>
            </w:rPr>
            <w:t>农产品区域公用品牌建设指南</w:t>
          </w:r>
        </w:p>
        <w:p w14:paraId="387EBBB8">
          <w:pPr>
            <w:pStyle w:val="106"/>
            <w:numPr>
              <w:ilvl w:val="0"/>
              <w:numId w:val="0"/>
            </w:numPr>
            <w:spacing w:before="240" w:after="240"/>
          </w:pPr>
          <w:r>
            <w:rPr>
              <w:rFonts w:hint="eastAsia"/>
            </w:rPr>
            <w:t>3</w:t>
          </w:r>
          <w:r>
            <w:rPr>
              <w:rFonts w:hint="eastAsia"/>
              <w:lang w:eastAsia="zh-CN"/>
            </w:rPr>
            <w:t xml:space="preserve"> </w:t>
          </w:r>
          <w:r>
            <w:rPr>
              <w:rFonts w:hint="eastAsia"/>
            </w:rPr>
            <w:t>术语和定义</w:t>
          </w:r>
          <w:bookmarkEnd w:id="32"/>
          <w:bookmarkEnd w:id="33"/>
        </w:p>
        <w:p w14:paraId="70F46233">
          <w:pPr>
            <w:widowControl/>
            <w:spacing w:line="240" w:lineRule="auto"/>
            <w:ind w:firstLine="420" w:firstLineChars="200"/>
            <w:jc w:val="left"/>
          </w:pPr>
          <w:r>
            <w:rPr>
              <w:rFonts w:hint="eastAsia" w:ascii="宋体" w:hAnsi="宋体" w:cs="宋体"/>
              <w:kern w:val="0"/>
              <w:lang w:bidi="ar"/>
            </w:rPr>
            <w:t>下列术语和定义适用于本文件。</w:t>
          </w:r>
        </w:p>
        <w:p w14:paraId="6A682EFE">
          <w:pPr>
            <w:widowControl/>
            <w:spacing w:line="240" w:lineRule="auto"/>
            <w:jc w:val="left"/>
            <w:rPr>
              <w:rFonts w:ascii="黑体" w:hAnsi="宋体" w:eastAsia="黑体" w:cs="黑体"/>
              <w:kern w:val="0"/>
              <w:lang w:bidi="ar"/>
            </w:rPr>
          </w:pPr>
          <w:bookmarkStart w:id="34" w:name="_Toc4346"/>
          <w:r>
            <w:rPr>
              <w:rFonts w:hint="eastAsia" w:ascii="黑体" w:hAnsi="宋体" w:eastAsia="黑体" w:cs="黑体"/>
              <w:kern w:val="0"/>
              <w:lang w:bidi="ar"/>
            </w:rPr>
            <w:t>3.</w:t>
          </w:r>
          <w:bookmarkEnd w:id="34"/>
          <w:r>
            <w:rPr>
              <w:rFonts w:hint="eastAsia" w:ascii="黑体" w:hAnsi="宋体" w:eastAsia="黑体" w:cs="黑体"/>
              <w:kern w:val="0"/>
              <w:lang w:bidi="ar"/>
            </w:rPr>
            <w:t>1</w:t>
          </w:r>
        </w:p>
        <w:p w14:paraId="39DFB8D7">
          <w:pPr>
            <w:pStyle w:val="237"/>
            <w:numPr>
              <w:ilvl w:val="1"/>
              <w:numId w:val="0"/>
            </w:numPr>
            <w:spacing w:before="0" w:beforeLines="0" w:after="0" w:afterLines="0"/>
            <w:ind w:firstLine="420" w:firstLineChars="200"/>
            <w:outlineLvl w:val="9"/>
            <w:rPr>
              <w:rFonts w:ascii="Times New Roman"/>
            </w:rPr>
          </w:pPr>
          <w:r>
            <w:rPr>
              <w:rFonts w:ascii="Times New Roman"/>
            </w:rPr>
            <w:t>果苞 fruit bract</w:t>
          </w:r>
        </w:p>
        <w:p w14:paraId="56C2DF87">
          <w:pPr>
            <w:widowControl/>
            <w:spacing w:line="240" w:lineRule="auto"/>
            <w:ind w:firstLine="420" w:firstLineChars="200"/>
            <w:jc w:val="left"/>
            <w:rPr>
              <w:rFonts w:ascii="宋体" w:hAnsi="宋体" w:cs="宋体"/>
              <w:sz w:val="22"/>
              <w:szCs w:val="22"/>
            </w:rPr>
          </w:pPr>
          <w:r>
            <w:rPr>
              <w:rFonts w:ascii="宋体" w:hAnsi="宋体" w:cs="宋体"/>
              <w:sz w:val="21"/>
              <w:szCs w:val="21"/>
            </w:rPr>
            <w:t>菠萝蜜中由受精后发育膨大的花萼与心皮共同构成的可食结构单元，内含</w:t>
          </w:r>
          <w:r>
            <w:rPr>
              <w:rFonts w:hint="eastAsia" w:ascii="宋体" w:hAnsi="宋体" w:cs="宋体"/>
              <w:sz w:val="21"/>
              <w:szCs w:val="21"/>
              <w:lang w:val="en-US" w:eastAsia="zh-CN"/>
            </w:rPr>
            <w:t xml:space="preserve"> </w:t>
          </w:r>
          <w:r>
            <w:rPr>
              <w:rFonts w:ascii="宋体" w:hAnsi="宋体" w:cs="宋体"/>
              <w:sz w:val="21"/>
              <w:szCs w:val="21"/>
            </w:rPr>
            <w:t>1</w:t>
          </w:r>
          <w:r>
            <w:rPr>
              <w:rFonts w:hint="eastAsia" w:ascii="宋体" w:hAnsi="宋体" w:cs="宋体"/>
              <w:sz w:val="21"/>
              <w:szCs w:val="21"/>
              <w:lang w:val="en-US" w:eastAsia="zh-CN"/>
            </w:rPr>
            <w:t xml:space="preserve"> </w:t>
          </w:r>
          <w:r>
            <w:rPr>
              <w:rFonts w:ascii="宋体" w:hAnsi="宋体" w:cs="宋体"/>
              <w:sz w:val="21"/>
              <w:szCs w:val="21"/>
            </w:rPr>
            <w:t>枚种子，是菠萝蜜果实中兼具食用价值与繁殖功能的基础组成部分，种子与花萼、心皮组织紧密结合，构成完整的果苞形态。</w:t>
          </w:r>
        </w:p>
        <w:p w14:paraId="0D062C91">
          <w:pPr>
            <w:widowControl/>
            <w:spacing w:line="240" w:lineRule="auto"/>
            <w:jc w:val="left"/>
            <w:rPr>
              <w:rFonts w:ascii="黑体" w:hAnsi="宋体" w:eastAsia="黑体" w:cs="黑体"/>
              <w:kern w:val="0"/>
              <w:lang w:bidi="ar"/>
            </w:rPr>
          </w:pPr>
          <w:r>
            <w:rPr>
              <w:rFonts w:hint="eastAsia" w:ascii="黑体" w:hAnsi="宋体" w:eastAsia="黑体" w:cs="黑体"/>
              <w:kern w:val="0"/>
              <w:lang w:bidi="ar"/>
            </w:rPr>
            <w:t>3.2</w:t>
          </w:r>
        </w:p>
        <w:p w14:paraId="40E86714">
          <w:pPr>
            <w:pStyle w:val="237"/>
            <w:numPr>
              <w:ilvl w:val="1"/>
              <w:numId w:val="0"/>
            </w:numPr>
            <w:spacing w:before="0" w:beforeLines="0" w:after="0" w:afterLines="0"/>
            <w:ind w:firstLine="420" w:firstLineChars="200"/>
            <w:outlineLvl w:val="9"/>
            <w:rPr>
              <w:rFonts w:hAnsi="黑体" w:cs="黑体"/>
              <w:sz w:val="21"/>
              <w:szCs w:val="21"/>
            </w:rPr>
          </w:pPr>
          <w:r>
            <w:rPr>
              <w:rFonts w:hint="eastAsia" w:hAnsi="黑体" w:cs="黑体"/>
              <w:sz w:val="21"/>
              <w:szCs w:val="21"/>
            </w:rPr>
            <w:t>苞肉 bract meat</w:t>
          </w:r>
        </w:p>
        <w:p w14:paraId="2EC75125">
          <w:pPr>
            <w:pStyle w:val="233"/>
            <w:ind w:firstLine="440"/>
            <w:rPr>
              <w:sz w:val="21"/>
              <w:szCs w:val="21"/>
            </w:rPr>
          </w:pPr>
          <w:r>
            <w:rPr>
              <w:rFonts w:hint="eastAsia"/>
              <w:sz w:val="21"/>
              <w:szCs w:val="21"/>
            </w:rPr>
            <w:t>菠萝蜜果苞中由受精后发育膨大的花萼与心皮构成的可食肉质部分，特指果苞去除种子后剩余的肉质组织，仅保留花萼与心皮的膨大肉质结构，不含种子及其他非食用成分，是果苞中主要的食用核心。</w:t>
          </w:r>
        </w:p>
        <w:p w14:paraId="179C2819">
          <w:pPr>
            <w:widowControl/>
            <w:spacing w:before="120" w:beforeLines="50" w:after="120" w:afterLines="50" w:line="240" w:lineRule="auto"/>
            <w:jc w:val="left"/>
            <w:rPr>
              <w:rFonts w:hint="eastAsia" w:ascii="黑体" w:hAnsi="宋体" w:eastAsia="黑体" w:cs="黑体"/>
              <w:color w:val="000000" w:themeColor="text1"/>
              <w:kern w:val="0"/>
              <w:sz w:val="21"/>
              <w:szCs w:val="21"/>
              <w:lang w:eastAsia="zh-CN" w:bidi="ar"/>
              <w14:textFill>
                <w14:solidFill>
                  <w14:schemeClr w14:val="tx1"/>
                </w14:solidFill>
              </w14:textFill>
            </w:rPr>
          </w:pPr>
          <w:r>
            <w:rPr>
              <w:rFonts w:hint="eastAsia" w:ascii="黑体" w:hAnsi="宋体" w:eastAsia="黑体" w:cs="黑体"/>
              <w:kern w:val="0"/>
              <w:lang w:bidi="ar"/>
            </w:rPr>
            <w:t>3</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p>
        <w:p w14:paraId="5CBB0F76">
          <w:pPr>
            <w:widowControl/>
            <w:spacing w:before="120" w:beforeLines="50" w:after="120" w:afterLines="50" w:line="240" w:lineRule="auto"/>
            <w:ind w:firstLine="420" w:firstLineChars="200"/>
            <w:jc w:val="left"/>
            <w:rPr>
              <w:rFonts w:ascii="黑体" w:hAnsi="宋体" w:eastAsia="黑体" w:cs="黑体"/>
              <w:color w:val="000000" w:themeColor="text1"/>
              <w:kern w:val="0"/>
              <w:sz w:val="21"/>
              <w:szCs w:val="21"/>
              <w:lang w:bidi="ar"/>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容许度 Tolerance</w:t>
          </w:r>
        </w:p>
        <w:p w14:paraId="0F4D0D8B">
          <w:pPr>
            <w:pStyle w:val="233"/>
            <w:ind w:firstLine="440"/>
            <w:rPr>
              <w:rFonts w:hint="eastAsia"/>
              <w:sz w:val="21"/>
              <w:szCs w:val="21"/>
            </w:rPr>
          </w:pPr>
          <w:r>
            <w:rPr>
              <w:rFonts w:hint="eastAsia"/>
              <w:sz w:val="21"/>
              <w:szCs w:val="21"/>
            </w:rPr>
            <w:t>某一等级果中允许其他等级果占有的比率。</w:t>
          </w:r>
        </w:p>
        <w:p w14:paraId="1A0D41A6">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35" w:name="_Toc12830"/>
          <w:bookmarkStart w:id="36" w:name="_Toc31227"/>
          <w:r>
            <w:rPr>
              <w:rFonts w:hint="eastAsia" w:ascii="黑体" w:hAnsi="宋体" w:eastAsia="黑体" w:cs="黑体"/>
              <w:color w:val="000000" w:themeColor="text1"/>
              <w:kern w:val="0"/>
              <w:sz w:val="21"/>
              <w:szCs w:val="21"/>
              <w:lang w:bidi="ar"/>
              <w14:textFill>
                <w14:solidFill>
                  <w14:schemeClr w14:val="tx1"/>
                </w14:solidFill>
              </w14:textFill>
            </w:rPr>
            <w:t>4</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产地环境</w:t>
          </w:r>
          <w:bookmarkEnd w:id="35"/>
          <w:bookmarkEnd w:id="36"/>
        </w:p>
        <w:p w14:paraId="099C40F8">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37" w:name="_Toc30064"/>
          <w:bookmarkStart w:id="38" w:name="_Toc14876"/>
          <w:r>
            <w:rPr>
              <w:rFonts w:hint="eastAsia" w:ascii="黑体" w:hAnsi="宋体" w:eastAsia="黑体" w:cs="黑体"/>
              <w:color w:val="000000" w:themeColor="text1"/>
              <w:kern w:val="0"/>
              <w:sz w:val="21"/>
              <w:szCs w:val="21"/>
              <w:lang w:bidi="ar"/>
              <w14:textFill>
                <w14:solidFill>
                  <w14:schemeClr w14:val="tx1"/>
                </w14:solidFill>
              </w14:textFill>
            </w:rPr>
            <w:t>4.1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气候</w:t>
          </w:r>
          <w:bookmarkEnd w:id="37"/>
          <w:r>
            <w:rPr>
              <w:rFonts w:hint="eastAsia" w:ascii="黑体" w:hAnsi="宋体" w:eastAsia="黑体" w:cs="黑体"/>
              <w:color w:val="000000" w:themeColor="text1"/>
              <w:kern w:val="0"/>
              <w:sz w:val="21"/>
              <w:szCs w:val="21"/>
              <w:lang w:bidi="ar"/>
              <w14:textFill>
                <w14:solidFill>
                  <w14:schemeClr w14:val="tx1"/>
                </w14:solidFill>
              </w14:textFill>
            </w:rPr>
            <w:t>条件</w:t>
          </w:r>
          <w:bookmarkEnd w:id="38"/>
        </w:p>
        <w:p w14:paraId="4A751E65">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最冷月均温≥</w:t>
          </w:r>
          <w:r>
            <w:rPr>
              <w:color w:val="000000" w:themeColor="text1"/>
              <w:sz w:val="21"/>
              <w:szCs w:val="21"/>
              <w14:textFill>
                <w14:solidFill>
                  <w14:schemeClr w14:val="tx1"/>
                </w14:solidFill>
              </w14:textFill>
            </w:rPr>
            <w:t> </w:t>
          </w:r>
          <w:r>
            <w:rPr>
              <w:rFonts w:hint="eastAsia"/>
              <w:color w:val="000000" w:themeColor="text1"/>
              <w:sz w:val="21"/>
              <w:szCs w:val="21"/>
              <w14:textFill>
                <w14:solidFill>
                  <w14:schemeClr w14:val="tx1"/>
                </w14:solidFill>
              </w14:textFill>
            </w:rPr>
            <w:t>13</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℃，绝对最低温＞</w:t>
          </w:r>
          <w:r>
            <w:rPr>
              <w:color w:val="000000" w:themeColor="text1"/>
              <w:sz w:val="21"/>
              <w:szCs w:val="21"/>
              <w14:textFill>
                <w14:solidFill>
                  <w14:schemeClr w14:val="tx1"/>
                </w14:solidFill>
              </w14:textFill>
            </w:rPr>
            <w:t> </w:t>
          </w:r>
          <w:r>
            <w:rPr>
              <w:rFonts w:hint="eastAsia"/>
              <w:color w:val="000000" w:themeColor="text1"/>
              <w:sz w:val="21"/>
              <w:szCs w:val="21"/>
              <w14:textFill>
                <w14:solidFill>
                  <w14:schemeClr w14:val="tx1"/>
                </w14:solidFill>
              </w14:textFill>
            </w:rPr>
            <w:t>0</w:t>
          </w:r>
          <w:r>
            <w:rPr>
              <w:rFonts w:hint="eastAsia"/>
              <w:color w:val="000000" w:themeColor="text1"/>
              <w:sz w:val="21"/>
              <w:szCs w:val="21"/>
              <w:lang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℃，年降雨量≥</w:t>
          </w:r>
          <w:r>
            <w:rPr>
              <w:color w:val="000000" w:themeColor="text1"/>
              <w:sz w:val="21"/>
              <w:szCs w:val="21"/>
              <w14:textFill>
                <w14:solidFill>
                  <w14:schemeClr w14:val="tx1"/>
                </w14:solidFill>
              </w14:textFill>
            </w:rPr>
            <w:t> </w:t>
          </w:r>
          <w:r>
            <w:rPr>
              <w:rFonts w:hint="eastAsia"/>
              <w:color w:val="000000" w:themeColor="text1"/>
              <w:sz w:val="21"/>
              <w:szCs w:val="21"/>
              <w14:textFill>
                <w14:solidFill>
                  <w14:schemeClr w14:val="tx1"/>
                </w14:solidFill>
              </w14:textFill>
            </w:rPr>
            <w:t>1200</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mm，年平均温度≥</w:t>
          </w:r>
          <w:r>
            <w:rPr>
              <w:color w:val="000000" w:themeColor="text1"/>
              <w:sz w:val="21"/>
              <w:szCs w:val="21"/>
              <w14:textFill>
                <w14:solidFill>
                  <w14:schemeClr w14:val="tx1"/>
                </w14:solidFill>
              </w14:textFill>
            </w:rPr>
            <w:t> </w:t>
          </w:r>
          <w:r>
            <w:rPr>
              <w:rFonts w:hint="eastAsia"/>
              <w:color w:val="000000" w:themeColor="text1"/>
              <w:sz w:val="21"/>
              <w:szCs w:val="21"/>
              <w14:textFill>
                <w14:solidFill>
                  <w14:schemeClr w14:val="tx1"/>
                </w14:solidFill>
              </w14:textFill>
            </w:rPr>
            <w:t>21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℃，年平均日照时数</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1800</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h以上。</w:t>
          </w:r>
        </w:p>
        <w:p w14:paraId="0A1BDA4B">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39" w:name="_Toc6588"/>
          <w:bookmarkStart w:id="40" w:name="_Toc31063"/>
          <w:r>
            <w:rPr>
              <w:rFonts w:hint="eastAsia" w:ascii="黑体" w:hAnsi="宋体" w:eastAsia="黑体" w:cs="黑体"/>
              <w:color w:val="000000" w:themeColor="text1"/>
              <w:kern w:val="0"/>
              <w:sz w:val="21"/>
              <w:szCs w:val="21"/>
              <w:lang w:bidi="ar"/>
              <w14:textFill>
                <w14:solidFill>
                  <w14:schemeClr w14:val="tx1"/>
                </w14:solidFill>
              </w14:textFill>
            </w:rPr>
            <w:t>4.2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立地</w:t>
          </w:r>
          <w:bookmarkEnd w:id="39"/>
          <w:r>
            <w:rPr>
              <w:rFonts w:hint="eastAsia" w:ascii="黑体" w:hAnsi="宋体" w:eastAsia="黑体" w:cs="黑体"/>
              <w:color w:val="000000" w:themeColor="text1"/>
              <w:kern w:val="0"/>
              <w:sz w:val="21"/>
              <w:szCs w:val="21"/>
              <w:lang w:bidi="ar"/>
              <w14:textFill>
                <w14:solidFill>
                  <w14:schemeClr w14:val="tx1"/>
                </w14:solidFill>
              </w14:textFill>
            </w:rPr>
            <w:t>条件</w:t>
          </w:r>
          <w:bookmarkEnd w:id="40"/>
        </w:p>
        <w:p w14:paraId="69921B4D">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果园交通便利，地下水位在</w:t>
          </w:r>
          <w:r>
            <w:rPr>
              <w:rFonts w:hint="eastAsia"/>
              <w:color w:val="000000" w:themeColor="text1"/>
              <w:sz w:val="21"/>
              <w:szCs w:val="21"/>
              <w:lang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1.5</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m以下，具有充足的灌溉水源，要求开阔向阳、避风的平地、缓坡地或坡度≤</w:t>
          </w:r>
          <w:r>
            <w:rPr>
              <w:rFonts w:hint="eastAsia" w:ascii="MS Mincho" w:hAnsi="MS Mincho" w:eastAsia="MS Mincho" w:cs="MS Mincho"/>
              <w:color w:val="000000" w:themeColor="text1"/>
              <w:sz w:val="21"/>
              <w:szCs w:val="21"/>
              <w14:textFill>
                <w14:solidFill>
                  <w14:schemeClr w14:val="tx1"/>
                </w14:solidFill>
              </w14:textFill>
            </w:rPr>
            <w:t> </w:t>
          </w:r>
          <w:r>
            <w:rPr>
              <w:rFonts w:hint="eastAsia"/>
              <w:color w:val="000000" w:themeColor="text1"/>
              <w:sz w:val="21"/>
              <w:szCs w:val="21"/>
              <w14:textFill>
                <w14:solidFill>
                  <w14:schemeClr w14:val="tx1"/>
                </w14:solidFill>
              </w14:textFill>
            </w:rPr>
            <w:t>20°的丘陵山地。</w:t>
          </w:r>
        </w:p>
        <w:p w14:paraId="252E51AF">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41" w:name="_Toc19133"/>
          <w:bookmarkStart w:id="42" w:name="_Toc25537"/>
          <w:r>
            <w:rPr>
              <w:rFonts w:hint="eastAsia" w:ascii="黑体" w:hAnsi="宋体" w:eastAsia="黑体" w:cs="黑体"/>
              <w:color w:val="000000" w:themeColor="text1"/>
              <w:kern w:val="0"/>
              <w:sz w:val="21"/>
              <w:szCs w:val="21"/>
              <w:lang w:bidi="ar"/>
              <w14:textFill>
                <w14:solidFill>
                  <w14:schemeClr w14:val="tx1"/>
                </w14:solidFill>
              </w14:textFill>
            </w:rPr>
            <w:t>4.3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土壤</w:t>
          </w:r>
          <w:bookmarkEnd w:id="41"/>
          <w:r>
            <w:rPr>
              <w:rFonts w:hint="eastAsia" w:ascii="黑体" w:hAnsi="宋体" w:eastAsia="黑体" w:cs="黑体"/>
              <w:color w:val="000000" w:themeColor="text1"/>
              <w:kern w:val="0"/>
              <w:sz w:val="21"/>
              <w:szCs w:val="21"/>
              <w:lang w:bidi="ar"/>
              <w14:textFill>
                <w14:solidFill>
                  <w14:schemeClr w14:val="tx1"/>
                </w14:solidFill>
              </w14:textFill>
            </w:rPr>
            <w:t>质量</w:t>
          </w:r>
          <w:bookmarkEnd w:id="42"/>
        </w:p>
        <w:p w14:paraId="7D0071F3">
          <w:pPr>
            <w:pStyle w:val="58"/>
            <w:ind w:firstLine="420"/>
            <w:rPr>
              <w:color w:val="000000" w:themeColor="text1"/>
              <w:sz w:val="21"/>
              <w:szCs w:val="21"/>
              <w14:textFill>
                <w14:solidFill>
                  <w14:schemeClr w14:val="tx1"/>
                </w14:solidFill>
              </w14:textFill>
            </w:rPr>
          </w:pPr>
          <w:r>
            <w:rPr>
              <w:rFonts w:hint="eastAsia"/>
              <w:color w:val="000000" w:themeColor="text1"/>
              <w:sz w:val="21"/>
              <w:szCs w:val="21"/>
              <w:lang w:bidi="ar"/>
              <w14:textFill>
                <w14:solidFill>
                  <w14:schemeClr w14:val="tx1"/>
                </w14:solidFill>
              </w14:textFill>
            </w:rPr>
            <w:t>土壤类型为壤土或砂壤土，质地良好，疏松透气，有机质含量≥</w:t>
          </w:r>
          <w:r>
            <w:rPr>
              <w:color w:val="000000" w:themeColor="text1"/>
              <w:sz w:val="21"/>
              <w:szCs w:val="21"/>
              <w:lang w:bidi="ar"/>
              <w14:textFill>
                <w14:solidFill>
                  <w14:schemeClr w14:val="tx1"/>
                </w14:solidFill>
              </w14:textFill>
            </w:rPr>
            <w:t> </w:t>
          </w:r>
          <w:r>
            <w:rPr>
              <w:rFonts w:hint="eastAsia"/>
              <w:color w:val="000000" w:themeColor="text1"/>
              <w:sz w:val="21"/>
              <w:szCs w:val="21"/>
              <w:lang w:bidi="ar"/>
              <w14:textFill>
                <w14:solidFill>
                  <w14:schemeClr w14:val="tx1"/>
                </w14:solidFill>
              </w14:textFill>
            </w:rPr>
            <w:t>1.0</w:t>
          </w:r>
          <w:r>
            <w:rPr>
              <w:color w:val="000000" w:themeColor="text1"/>
              <w:sz w:val="21"/>
              <w:szCs w:val="21"/>
              <w:lang w:bidi="ar"/>
              <w14:textFill>
                <w14:solidFill>
                  <w14:schemeClr w14:val="tx1"/>
                </w14:solidFill>
              </w14:textFill>
            </w:rPr>
            <w:t> </w:t>
          </w:r>
          <w:r>
            <w:rPr>
              <w:rFonts w:hint="eastAsia"/>
              <w:color w:val="000000" w:themeColor="text1"/>
              <w:sz w:val="21"/>
              <w:szCs w:val="21"/>
              <w:lang w:bidi="ar"/>
              <w14:textFill>
                <w14:solidFill>
                  <w14:schemeClr w14:val="tx1"/>
                </w14:solidFill>
              </w14:textFill>
            </w:rPr>
            <w:t>%，</w:t>
          </w:r>
          <w:r>
            <w:rPr>
              <w:rFonts w:hint="eastAsia"/>
              <w:color w:val="000000" w:themeColor="text1"/>
              <w:sz w:val="21"/>
              <w:szCs w:val="21"/>
              <w14:textFill>
                <w14:solidFill>
                  <w14:schemeClr w14:val="tx1"/>
                </w14:solidFill>
              </w14:textFill>
            </w:rPr>
            <w:t>土壤pH值</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4.5</w:t>
          </w:r>
          <w:r>
            <w:rPr>
              <w:rFonts w:hint="eastAsia" w:ascii="MS Mincho" w:hAnsi="MS Mincho" w:eastAsia="MS Mincho" w:cs="MS Mincho"/>
              <w:color w:val="000000" w:themeColor="text1"/>
              <w:sz w:val="21"/>
              <w:szCs w:val="21"/>
              <w14:textFill>
                <w14:solidFill>
                  <w14:schemeClr w14:val="tx1"/>
                </w14:solidFill>
              </w14:textFill>
            </w:rPr>
            <w:t> </w:t>
          </w:r>
          <w:r>
            <w:rPr>
              <w:rFonts w:hint="eastAsia"/>
              <w:color w:val="000000" w:themeColor="text1"/>
              <w:sz w:val="21"/>
              <w:szCs w:val="21"/>
              <w:lang w:bidi="ar"/>
              <w14:textFill>
                <w14:solidFill>
                  <w14:schemeClr w14:val="tx1"/>
                </w14:solidFill>
              </w14:textFill>
            </w:rPr>
            <w:t>～</w:t>
          </w:r>
          <w:r>
            <w:rPr>
              <w:rFonts w:hint="eastAsia" w:ascii="MS Mincho" w:hAnsi="MS Mincho" w:eastAsia="MS Mincho" w:cs="MS Mincho"/>
              <w:color w:val="000000" w:themeColor="text1"/>
              <w:sz w:val="21"/>
              <w:szCs w:val="21"/>
              <w14:textFill>
                <w14:solidFill>
                  <w14:schemeClr w14:val="tx1"/>
                </w14:solidFill>
              </w14:textFill>
            </w:rPr>
            <w:t> </w:t>
          </w:r>
          <w:r>
            <w:rPr>
              <w:rFonts w:hint="eastAsia"/>
              <w:color w:val="000000" w:themeColor="text1"/>
              <w:sz w:val="21"/>
              <w:szCs w:val="21"/>
              <w:lang w:bidi="ar"/>
              <w14:textFill>
                <w14:solidFill>
                  <w14:schemeClr w14:val="tx1"/>
                </w14:solidFill>
              </w14:textFill>
            </w:rPr>
            <w:t>6.5</w:t>
          </w:r>
          <w:r>
            <w:rPr>
              <w:rFonts w:hint="eastAsia" w:ascii="MS Mincho" w:hAnsi="MS Mincho" w:cs="MS Mincho"/>
              <w:color w:val="000000" w:themeColor="text1"/>
              <w:sz w:val="21"/>
              <w:szCs w:val="21"/>
              <w:lang w:eastAsia="zh-CN"/>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，土层厚度在</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80</w:t>
          </w:r>
          <w:r>
            <w:rPr>
              <w:rFonts w:hint="eastAsia"/>
              <w:color w:val="000000" w:themeColor="text1"/>
              <w:sz w:val="21"/>
              <w:szCs w:val="21"/>
              <w:lang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cm以上</w:t>
          </w:r>
          <w:r>
            <w:rPr>
              <w:rFonts w:hint="eastAsia"/>
              <w:color w:val="000000" w:themeColor="text1"/>
              <w:sz w:val="21"/>
              <w:szCs w:val="21"/>
              <w14:textFill>
                <w14:solidFill>
                  <w14:schemeClr w14:val="tx1"/>
                </w14:solidFill>
              </w14:textFill>
            </w:rPr>
            <w:t>。土壤环境监测指标应符合</w:t>
          </w:r>
          <w:r>
            <w:rPr>
              <w:rFonts w:hint="eastAsia"/>
              <w:color w:val="000000" w:themeColor="text1"/>
              <w:sz w:val="21"/>
              <w:szCs w:val="21"/>
              <w:lang w:val="en-US" w:eastAsia="zh-CN"/>
              <w14:textFill>
                <w14:solidFill>
                  <w14:schemeClr w14:val="tx1"/>
                </w14:solidFill>
              </w14:textFill>
            </w:rPr>
            <w:t>GB</w:t>
          </w:r>
          <w:r>
            <w:rPr>
              <w:rFonts w:hint="eastAsia"/>
              <w:color w:val="000000" w:themeColor="text1"/>
              <w:sz w:val="21"/>
              <w:szCs w:val="21"/>
              <w14:textFill>
                <w14:solidFill>
                  <w14:schemeClr w14:val="tx1"/>
                </w14:solidFill>
              </w14:textFill>
            </w:rPr>
            <w:t xml:space="preserve"> 15618</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的要求。</w:t>
          </w:r>
        </w:p>
        <w:p w14:paraId="15206D24">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43" w:name="_Toc30567"/>
          <w:r>
            <w:rPr>
              <w:rFonts w:hint="eastAsia" w:ascii="黑体" w:hAnsi="宋体" w:eastAsia="黑体" w:cs="黑体"/>
              <w:color w:val="000000" w:themeColor="text1"/>
              <w:kern w:val="0"/>
              <w:sz w:val="21"/>
              <w:szCs w:val="21"/>
              <w:lang w:bidi="ar"/>
              <w14:textFill>
                <w14:solidFill>
                  <w14:schemeClr w14:val="tx1"/>
                </w14:solidFill>
              </w14:textFill>
            </w:rPr>
            <w:t>4.4</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空气质量</w:t>
          </w:r>
          <w:bookmarkEnd w:id="43"/>
        </w:p>
        <w:p w14:paraId="1807CD48">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环境空气质</w:t>
          </w:r>
          <w:r>
            <w:rPr>
              <w:color w:val="000000" w:themeColor="text1"/>
              <w:sz w:val="21"/>
              <w:szCs w:val="21"/>
              <w14:textFill>
                <w14:solidFill>
                  <w14:schemeClr w14:val="tx1"/>
                </w14:solidFill>
              </w14:textFill>
            </w:rPr>
            <w:t>量应符合GB 3095</w:t>
          </w:r>
          <w:r>
            <w:rPr>
              <w:rFonts w:hint="eastAsia"/>
              <w:color w:val="000000" w:themeColor="text1"/>
              <w:sz w:val="21"/>
              <w:szCs w:val="21"/>
              <w:lang w:val="en-US" w:eastAsia="zh-CN"/>
              <w14:textFill>
                <w14:solidFill>
                  <w14:schemeClr w14:val="tx1"/>
                </w14:solidFill>
              </w14:textFill>
            </w:rPr>
            <w:t xml:space="preserve"> </w:t>
          </w:r>
          <w:r>
            <w:rPr>
              <w:color w:val="000000" w:themeColor="text1"/>
              <w:sz w:val="21"/>
              <w:szCs w:val="21"/>
              <w14:textFill>
                <w14:solidFill>
                  <w14:schemeClr w14:val="tx1"/>
                </w14:solidFill>
              </w14:textFill>
            </w:rPr>
            <w:t>的规定。</w:t>
          </w:r>
        </w:p>
        <w:p w14:paraId="7E5AF667">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44" w:name="_Toc8759"/>
          <w:r>
            <w:rPr>
              <w:rFonts w:hint="eastAsia" w:ascii="黑体" w:hAnsi="宋体" w:eastAsia="黑体" w:cs="黑体"/>
              <w:color w:val="000000" w:themeColor="text1"/>
              <w:kern w:val="0"/>
              <w:sz w:val="21"/>
              <w:szCs w:val="21"/>
              <w:lang w:bidi="ar"/>
              <w14:textFill>
                <w14:solidFill>
                  <w14:schemeClr w14:val="tx1"/>
                </w14:solidFill>
              </w14:textFill>
            </w:rPr>
            <w:t>4.5</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灌溉水质量</w:t>
          </w:r>
          <w:bookmarkEnd w:id="44"/>
        </w:p>
        <w:p w14:paraId="02ABD6EA">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果园</w:t>
          </w:r>
          <w:r>
            <w:rPr>
              <w:color w:val="000000" w:themeColor="text1"/>
              <w:sz w:val="21"/>
              <w:szCs w:val="21"/>
              <w14:textFill>
                <w14:solidFill>
                  <w14:schemeClr w14:val="tx1"/>
                </w14:solidFill>
              </w14:textFill>
            </w:rPr>
            <w:t>灌溉水质应符合</w:t>
          </w:r>
          <w:r>
            <w:rPr>
              <w:rFonts w:hint="eastAsia"/>
              <w:color w:val="000000" w:themeColor="text1"/>
              <w:sz w:val="21"/>
              <w:szCs w:val="21"/>
              <w14:textFill>
                <w14:solidFill>
                  <w14:schemeClr w14:val="tx1"/>
                </w14:solidFill>
              </w14:textFill>
            </w:rPr>
            <w:t>GB 5084</w:t>
          </w:r>
          <w:r>
            <w:rPr>
              <w:rFonts w:hint="eastAsia"/>
              <w:color w:val="000000" w:themeColor="text1"/>
              <w:sz w:val="21"/>
              <w:szCs w:val="21"/>
              <w:lang w:val="en-US" w:eastAsia="zh-CN"/>
              <w14:textFill>
                <w14:solidFill>
                  <w14:schemeClr w14:val="tx1"/>
                </w14:solidFill>
              </w14:textFill>
            </w:rPr>
            <w:t xml:space="preserve"> </w:t>
          </w:r>
          <w:r>
            <w:rPr>
              <w:color w:val="000000" w:themeColor="text1"/>
              <w:sz w:val="21"/>
              <w:szCs w:val="21"/>
              <w14:textFill>
                <w14:solidFill>
                  <w14:schemeClr w14:val="tx1"/>
                </w14:solidFill>
              </w14:textFill>
            </w:rPr>
            <w:t>的规定</w:t>
          </w:r>
          <w:r>
            <w:rPr>
              <w:rFonts w:hint="eastAsia"/>
              <w:color w:val="000000" w:themeColor="text1"/>
              <w:sz w:val="21"/>
              <w:szCs w:val="21"/>
              <w14:textFill>
                <w14:solidFill>
                  <w14:schemeClr w14:val="tx1"/>
                </w14:solidFill>
              </w14:textFill>
            </w:rPr>
            <w:t>。</w:t>
          </w:r>
        </w:p>
        <w:p w14:paraId="15608E7A">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45" w:name="_Toc5426"/>
          <w:r>
            <w:rPr>
              <w:rFonts w:hint="eastAsia" w:ascii="黑体" w:hAnsi="宋体" w:eastAsia="黑体" w:cs="黑体"/>
              <w:color w:val="000000" w:themeColor="text1"/>
              <w:kern w:val="0"/>
              <w:sz w:val="21"/>
              <w:szCs w:val="21"/>
              <w:lang w:bidi="ar"/>
              <w14:textFill>
                <w14:solidFill>
                  <w14:schemeClr w14:val="tx1"/>
                </w14:solidFill>
              </w14:textFill>
            </w:rPr>
            <w:t>4.6</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环境评价</w:t>
          </w:r>
          <w:bookmarkEnd w:id="45"/>
        </w:p>
        <w:p w14:paraId="34468C08">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按照HJ 332</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的规定执行。</w:t>
          </w:r>
        </w:p>
        <w:p w14:paraId="1176D1BF">
          <w:pPr>
            <w:pStyle w:val="106"/>
            <w:numPr>
              <w:ilvl w:val="0"/>
              <w:numId w:val="0"/>
            </w:numPr>
            <w:spacing w:before="240" w:after="240"/>
            <w:rPr>
              <w:color w:val="000000" w:themeColor="text1"/>
              <w14:textFill>
                <w14:solidFill>
                  <w14:schemeClr w14:val="tx1"/>
                </w14:solidFill>
              </w14:textFill>
            </w:rPr>
          </w:pPr>
          <w:bookmarkStart w:id="46" w:name="_Toc31228"/>
          <w:bookmarkStart w:id="47" w:name="_Toc13292"/>
          <w:r>
            <w:rPr>
              <w:rFonts w:hint="eastAsia"/>
              <w:color w:val="000000" w:themeColor="text1"/>
              <w14:textFill>
                <w14:solidFill>
                  <w14:schemeClr w14:val="tx1"/>
                </w14:solidFill>
              </w14:textFill>
            </w:rPr>
            <w:t>5</w:t>
          </w:r>
          <w:r>
            <w:rPr>
              <w:rFonts w:hint="eastAsia"/>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投入品管理</w:t>
          </w:r>
          <w:bookmarkEnd w:id="46"/>
          <w:bookmarkEnd w:id="47"/>
        </w:p>
        <w:p w14:paraId="165940C4">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48" w:name="_Toc15080"/>
          <w:bookmarkStart w:id="49" w:name="_Toc945"/>
          <w:r>
            <w:rPr>
              <w:rFonts w:hint="eastAsia" w:ascii="黑体" w:hAnsi="宋体" w:eastAsia="黑体" w:cs="黑体"/>
              <w:color w:val="000000" w:themeColor="text1"/>
              <w:kern w:val="0"/>
              <w:lang w:bidi="ar"/>
              <w14:textFill>
                <w14:solidFill>
                  <w14:schemeClr w14:val="tx1"/>
                </w14:solidFill>
              </w14:textFill>
            </w:rPr>
            <w:t>5.1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基本要求</w:t>
          </w:r>
          <w:bookmarkEnd w:id="48"/>
          <w:bookmarkEnd w:id="49"/>
        </w:p>
        <w:p w14:paraId="79165167">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农业投入品的选择、使用和管理应遵守以下规定：</w:t>
          </w:r>
        </w:p>
        <w:p w14:paraId="683DD114">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——不应购买、使用、储存国家禁用的农业投入品；</w:t>
          </w:r>
        </w:p>
        <w:p w14:paraId="268AE56D">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——所有农业投入品应统一购买、统一供应、统一管理、统一处置；</w:t>
          </w:r>
        </w:p>
        <w:p w14:paraId="3990556C">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应选购具有合格证明的农药、肥料、种苗、防草布等农业投入品，购买时检验投入品的产品批号、标签标识，不应采购“三无”、质量差、批准文号过期的投入品，购买后应索取并保存购买凭证或发票，采购数量较大时宜签订采购协议；</w:t>
          </w:r>
        </w:p>
        <w:p w14:paraId="7129ED5E">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——根据投入品的使用说明做好防潮、防晒、避雨等储存措施；</w:t>
          </w:r>
        </w:p>
        <w:p w14:paraId="708426E2">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——变质和过期的投入品做好标识，隔离禁用，并安全处置；</w:t>
          </w:r>
        </w:p>
        <w:p w14:paraId="18D49022">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——妥善回收化肥、农药包装等废弃物，应集中无害化处理；</w:t>
          </w:r>
        </w:p>
        <w:p w14:paraId="2DAA2EB6">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——做好农业投入品使用管理档案记录。</w:t>
          </w:r>
        </w:p>
        <w:p w14:paraId="74CEC518">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50" w:name="_Toc28838"/>
          <w:bookmarkStart w:id="51" w:name="_Toc24041"/>
          <w:r>
            <w:rPr>
              <w:rFonts w:hint="eastAsia" w:ascii="黑体" w:hAnsi="宋体" w:eastAsia="黑体" w:cs="黑体"/>
              <w:color w:val="000000" w:themeColor="text1"/>
              <w:kern w:val="0"/>
              <w:lang w:bidi="ar"/>
              <w14:textFill>
                <w14:solidFill>
                  <w14:schemeClr w14:val="tx1"/>
                </w14:solidFill>
              </w14:textFill>
            </w:rPr>
            <w:t>5.2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肥料</w:t>
          </w:r>
          <w:bookmarkEnd w:id="50"/>
          <w:bookmarkEnd w:id="51"/>
        </w:p>
        <w:p w14:paraId="3B6C26C6">
          <w:pPr>
            <w:pStyle w:val="58"/>
            <w:ind w:firstLine="420"/>
            <w:rPr>
              <w:color w:val="000000" w:themeColor="text1"/>
              <w14:textFill>
                <w14:solidFill>
                  <w14:schemeClr w14:val="tx1"/>
                </w14:solidFill>
              </w14:textFill>
            </w:rPr>
          </w:pPr>
          <w:r>
            <w:rPr>
              <w:color w:val="000000" w:themeColor="text1"/>
              <w14:textFill>
                <w14:solidFill>
                  <w14:schemeClr w14:val="tx1"/>
                </w14:solidFill>
              </w14:textFill>
            </w:rPr>
            <w:t>肥料中有害有毒物质的限量应符合</w:t>
          </w:r>
          <w:r>
            <w:rPr>
              <w:rFonts w:hint="eastAsia"/>
              <w:color w:val="000000" w:themeColor="text1"/>
              <w:lang w:val="en-US" w:eastAsia="zh-CN"/>
              <w14:textFill>
                <w14:solidFill>
                  <w14:schemeClr w14:val="tx1"/>
                </w14:solidFill>
              </w14:textFill>
            </w:rPr>
            <w:t>GB</w:t>
          </w:r>
          <w:r>
            <w:rPr>
              <w:color w:val="000000" w:themeColor="text1"/>
              <w14:textFill>
                <w14:solidFill>
                  <w14:schemeClr w14:val="tx1"/>
                </w14:solidFill>
              </w14:textFill>
            </w:rPr>
            <w:t xml:space="preserve"> 38400</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的要求。肥料使用按照</w:t>
          </w:r>
          <w:r>
            <w:rPr>
              <w:rFonts w:hint="eastAsia"/>
              <w:color w:val="000000" w:themeColor="text1"/>
              <w:lang w:val="en-US" w:eastAsia="zh-CN"/>
              <w14:textFill>
                <w14:solidFill>
                  <w14:schemeClr w14:val="tx1"/>
                </w14:solidFill>
              </w14:textFill>
            </w:rPr>
            <w:t>NY</w:t>
          </w:r>
          <w:r>
            <w:rPr>
              <w:color w:val="000000" w:themeColor="text1"/>
              <w14:textFill>
                <w14:solidFill>
                  <w14:schemeClr w14:val="tx1"/>
                </w14:solidFill>
              </w14:textFill>
            </w:rPr>
            <w:t>/T 496</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的规定执行，有机肥应符合</w:t>
          </w:r>
          <w:r>
            <w:rPr>
              <w:rFonts w:hint="eastAsia"/>
              <w:color w:val="000000" w:themeColor="text1"/>
              <w:lang w:val="en-US" w:eastAsia="zh-CN"/>
              <w14:textFill>
                <w14:solidFill>
                  <w14:schemeClr w14:val="tx1"/>
                </w14:solidFill>
              </w14:textFill>
            </w:rPr>
            <w:t>NY</w:t>
          </w:r>
          <w:r>
            <w:rPr>
              <w:color w:val="000000" w:themeColor="text1"/>
              <w14:textFill>
                <w14:solidFill>
                  <w14:schemeClr w14:val="tx1"/>
                </w14:solidFill>
              </w14:textFill>
            </w:rPr>
            <w:t>/T 525</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和</w:t>
          </w:r>
          <w:r>
            <w:rPr>
              <w:rFonts w:hint="eastAsia"/>
              <w:color w:val="000000" w:themeColor="text1"/>
              <w:lang w:val="en-US" w:eastAsia="zh-CN"/>
              <w14:textFill>
                <w14:solidFill>
                  <w14:schemeClr w14:val="tx1"/>
                </w14:solidFill>
              </w14:textFill>
            </w:rPr>
            <w:t>NY</w:t>
          </w:r>
          <w:r>
            <w:rPr>
              <w:rFonts w:hint="eastAsia"/>
              <w:color w:val="000000" w:themeColor="text1"/>
              <w14:textFill>
                <w14:solidFill>
                  <w14:schemeClr w14:val="tx1"/>
                </w14:solidFill>
              </w14:textFill>
            </w:rPr>
            <w:t>/T 1868</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的规定，微生物肥料应符合</w:t>
          </w:r>
          <w:r>
            <w:rPr>
              <w:rFonts w:hint="eastAsia"/>
              <w:color w:val="000000" w:themeColor="text1"/>
              <w:lang w:val="en-US" w:eastAsia="zh-CN"/>
              <w14:textFill>
                <w14:solidFill>
                  <w14:schemeClr w14:val="tx1"/>
                </w14:solidFill>
              </w14:textFill>
            </w:rPr>
            <w:t>NY</w:t>
          </w:r>
          <w:r>
            <w:rPr>
              <w:color w:val="000000" w:themeColor="text1"/>
              <w14:textFill>
                <w14:solidFill>
                  <w14:schemeClr w14:val="tx1"/>
                </w14:solidFill>
              </w14:textFill>
            </w:rPr>
            <w:t>/T</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798</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和</w:t>
          </w:r>
          <w:r>
            <w:rPr>
              <w:rFonts w:hint="eastAsia"/>
              <w:color w:val="000000" w:themeColor="text1"/>
              <w:lang w:val="en-US" w:eastAsia="zh-CN"/>
              <w14:textFill>
                <w14:solidFill>
                  <w14:schemeClr w14:val="tx1"/>
                </w14:solidFill>
              </w14:textFill>
            </w:rPr>
            <w:t>NY</w:t>
          </w:r>
          <w:r>
            <w:rPr>
              <w:rFonts w:hint="eastAsia"/>
              <w:color w:val="000000" w:themeColor="text1"/>
              <w14:textFill>
                <w14:solidFill>
                  <w14:schemeClr w14:val="tx1"/>
                </w14:solidFill>
              </w14:textFill>
            </w:rPr>
            <w:t>/T 1535</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的规定，</w:t>
          </w:r>
          <w:r>
            <w:rPr>
              <w:rFonts w:hint="eastAsia"/>
              <w:color w:val="000000" w:themeColor="text1"/>
              <w14:textFill>
                <w14:solidFill>
                  <w14:schemeClr w14:val="tx1"/>
                </w14:solidFill>
              </w14:textFill>
            </w:rPr>
            <w:t>氮肥应符合</w:t>
          </w:r>
          <w:r>
            <w:rPr>
              <w:rFonts w:hint="eastAsia"/>
              <w:color w:val="000000" w:themeColor="text1"/>
              <w:lang w:val="en-US" w:eastAsia="zh-CN"/>
              <w14:textFill>
                <w14:solidFill>
                  <w14:schemeClr w14:val="tx1"/>
                </w14:solidFill>
              </w14:textFill>
            </w:rPr>
            <w:t>NY</w:t>
          </w:r>
          <w:r>
            <w:rPr>
              <w:rFonts w:hint="eastAsia"/>
              <w:color w:val="000000" w:themeColor="text1"/>
              <w14:textFill>
                <w14:solidFill>
                  <w14:schemeClr w14:val="tx1"/>
                </w14:solidFill>
              </w14:textFill>
            </w:rPr>
            <w:t>/T 1105</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的规定，钾肥应符合</w:t>
          </w:r>
          <w:r>
            <w:rPr>
              <w:rFonts w:hint="eastAsia"/>
              <w:color w:val="000000" w:themeColor="text1"/>
              <w:lang w:val="en-US" w:eastAsia="zh-CN"/>
              <w14:textFill>
                <w14:solidFill>
                  <w14:schemeClr w14:val="tx1"/>
                </w14:solidFill>
              </w14:textFill>
            </w:rPr>
            <w:t>NY</w:t>
          </w:r>
          <w:r>
            <w:rPr>
              <w:rFonts w:hint="eastAsia"/>
              <w:color w:val="000000" w:themeColor="text1"/>
              <w14:textFill>
                <w14:solidFill>
                  <w14:schemeClr w14:val="tx1"/>
                </w14:solidFill>
              </w14:textFill>
            </w:rPr>
            <w:t>/T 1869</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的规定，</w:t>
          </w:r>
          <w:r>
            <w:rPr>
              <w:color w:val="000000" w:themeColor="text1"/>
              <w14:textFill>
                <w14:solidFill>
                  <w14:schemeClr w14:val="tx1"/>
                </w14:solidFill>
              </w14:textFill>
            </w:rPr>
            <w:t>叶面肥应符合</w:t>
          </w:r>
          <w:r>
            <w:rPr>
              <w:rFonts w:hint="eastAsia"/>
              <w:color w:val="000000" w:themeColor="text1"/>
              <w:lang w:val="en-US" w:eastAsia="zh-CN"/>
              <w14:textFill>
                <w14:solidFill>
                  <w14:schemeClr w14:val="tx1"/>
                </w14:solidFill>
              </w14:textFill>
            </w:rPr>
            <w:t>GB</w:t>
          </w:r>
          <w:r>
            <w:rPr>
              <w:color w:val="000000" w:themeColor="text1"/>
              <w14:textFill>
                <w14:solidFill>
                  <w14:schemeClr w14:val="tx1"/>
                </w14:solidFill>
              </w14:textFill>
            </w:rPr>
            <w:t>/T 17419</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和</w:t>
          </w:r>
          <w:r>
            <w:rPr>
              <w:rFonts w:hint="eastAsia"/>
              <w:color w:val="000000" w:themeColor="text1"/>
              <w:lang w:val="en-US" w:eastAsia="zh-CN"/>
              <w14:textFill>
                <w14:solidFill>
                  <w14:schemeClr w14:val="tx1"/>
                </w14:solidFill>
              </w14:textFill>
            </w:rPr>
            <w:t>GB</w:t>
          </w:r>
          <w:r>
            <w:rPr>
              <w:color w:val="000000" w:themeColor="text1"/>
              <w14:textFill>
                <w14:solidFill>
                  <w14:schemeClr w14:val="tx1"/>
                </w14:solidFill>
              </w14:textFill>
            </w:rPr>
            <w:t>/T 17420</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的规定。</w:t>
          </w:r>
        </w:p>
        <w:p w14:paraId="3F1859EA">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52" w:name="_Toc26811"/>
          <w:bookmarkStart w:id="53" w:name="_Toc12087"/>
          <w:r>
            <w:rPr>
              <w:rFonts w:ascii="黑体" w:hAnsi="宋体" w:eastAsia="黑体" w:cs="黑体"/>
              <w:color w:val="000000" w:themeColor="text1"/>
              <w:kern w:val="0"/>
              <w:lang w:bidi="ar"/>
              <w14:textFill>
                <w14:solidFill>
                  <w14:schemeClr w14:val="tx1"/>
                </w14:solidFill>
              </w14:textFill>
            </w:rPr>
            <w:t>5.3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ascii="黑体" w:hAnsi="宋体" w:eastAsia="黑体" w:cs="黑体"/>
              <w:color w:val="000000" w:themeColor="text1"/>
              <w:kern w:val="0"/>
              <w:lang w:bidi="ar"/>
              <w14:textFill>
                <w14:solidFill>
                  <w14:schemeClr w14:val="tx1"/>
                </w14:solidFill>
              </w14:textFill>
            </w:rPr>
            <w:t>农药</w:t>
          </w:r>
          <w:bookmarkEnd w:id="52"/>
          <w:bookmarkEnd w:id="53"/>
        </w:p>
        <w:p w14:paraId="243E33A3">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加强病虫害发生的动态监测和预报，适时用药以提高防治效果；严格控制农药的安全间隔期，尽量减轻化学农药对环境的污染和天敌的伤害，避免对果实造成污染；优先使用生物农药，合理使用高效、低毒、低残留的化学农药，严格掌握施用剂量、使用次数和施药方法，应符合</w:t>
          </w:r>
          <w:r>
            <w:rPr>
              <w:rFonts w:hint="eastAsia"/>
              <w:color w:val="000000" w:themeColor="text1"/>
              <w:lang w:val="en-US" w:eastAsia="zh-CN"/>
              <w14:textFill>
                <w14:solidFill>
                  <w14:schemeClr w14:val="tx1"/>
                </w14:solidFill>
              </w14:textFill>
            </w:rPr>
            <w:t>GB</w:t>
          </w:r>
          <w:r>
            <w:rPr>
              <w:rFonts w:hint="eastAsia"/>
              <w:color w:val="000000" w:themeColor="text1"/>
              <w14:textFill>
                <w14:solidFill>
                  <w14:schemeClr w14:val="tx1"/>
                </w14:solidFill>
              </w14:textFill>
            </w:rPr>
            <w:t>/T 8321（所有部分）</w:t>
          </w:r>
          <w:r>
            <w:rPr>
              <w:rFonts w:hint="eastAsia"/>
              <w:color w:val="000000" w:themeColor="text1"/>
              <w:lang w:val="en-US" w:eastAsia="zh-CN"/>
              <w14:textFill>
                <w14:solidFill>
                  <w14:schemeClr w14:val="tx1"/>
                </w14:solidFill>
              </w14:textFill>
            </w:rPr>
            <w:t>和</w:t>
          </w:r>
          <w:r>
            <w:rPr>
              <w:rFonts w:hint="eastAsia"/>
              <w:color w:val="000000" w:themeColor="text1"/>
              <w14:textFill>
                <w14:solidFill>
                  <w14:schemeClr w14:val="tx1"/>
                </w14:solidFill>
              </w14:textFill>
            </w:rPr>
            <w:t>《海南经济特区禁止生产运输储存销售使用农药名录》的要求。</w:t>
          </w:r>
        </w:p>
        <w:p w14:paraId="014FAE97">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54" w:name="_Toc22963"/>
          <w:bookmarkStart w:id="55" w:name="_Toc14372"/>
          <w:r>
            <w:rPr>
              <w:rFonts w:hint="eastAsia" w:ascii="黑体" w:hAnsi="宋体" w:eastAsia="黑体" w:cs="黑体"/>
              <w:color w:val="000000" w:themeColor="text1"/>
              <w:kern w:val="0"/>
              <w:lang w:bidi="ar"/>
              <w14:textFill>
                <w14:solidFill>
                  <w14:schemeClr w14:val="tx1"/>
                </w14:solidFill>
              </w14:textFill>
            </w:rPr>
            <w:t>5.4</w:t>
          </w:r>
          <w:bookmarkEnd w:id="54"/>
          <w:bookmarkStart w:id="56" w:name="_Toc19381"/>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其他</w:t>
          </w:r>
          <w:bookmarkEnd w:id="55"/>
          <w:bookmarkEnd w:id="56"/>
          <w:bookmarkStart w:id="57" w:name="_Toc31584"/>
          <w:bookmarkStart w:id="58" w:name="_Toc4274"/>
        </w:p>
        <w:p w14:paraId="68E97713">
          <w:pPr>
            <w:widowControl/>
            <w:spacing w:before="120" w:beforeLines="50" w:after="120" w:afterLines="50" w:line="240" w:lineRule="auto"/>
            <w:ind w:firstLine="420" w:firstLineChars="200"/>
            <w:jc w:val="left"/>
            <w:outlineLvl w:val="1"/>
            <w:rPr>
              <w:rFonts w:ascii="宋体" w:hAnsi="Times New Roman"/>
              <w:color w:val="000000" w:themeColor="text1"/>
              <w14:textFill>
                <w14:solidFill>
                  <w14:schemeClr w14:val="tx1"/>
                </w14:solidFill>
              </w14:textFill>
            </w:rPr>
          </w:pPr>
          <w:r>
            <w:rPr>
              <w:rFonts w:hint="eastAsia" w:ascii="宋体" w:hAnsi="Times New Roman"/>
              <w:color w:val="000000" w:themeColor="text1"/>
              <w14:textFill>
                <w14:solidFill>
                  <w14:schemeClr w14:val="tx1"/>
                </w14:solidFill>
              </w14:textFill>
            </w:rPr>
            <w:t>辅助材料（含防草布、遮荫网、水管、果实套袋材料等），应按国家及相关行业标准采购，确保产品质量合规。所有材料的废弃物处理方式应符合</w:t>
          </w:r>
          <w:r>
            <w:rPr>
              <w:rFonts w:hint="eastAsia" w:ascii="宋体" w:hAnsi="Times New Roman"/>
              <w:color w:val="000000" w:themeColor="text1"/>
              <w:lang w:val="en-US" w:eastAsia="zh-CN"/>
              <w14:textFill>
                <w14:solidFill>
                  <w14:schemeClr w14:val="tx1"/>
                </w14:solidFill>
              </w14:textFill>
            </w:rPr>
            <w:t>GB</w:t>
          </w:r>
          <w:r>
            <w:rPr>
              <w:rFonts w:hint="eastAsia" w:ascii="宋体" w:hAnsi="Times New Roman"/>
              <w:color w:val="000000" w:themeColor="text1"/>
              <w14:textFill>
                <w14:solidFill>
                  <w14:schemeClr w14:val="tx1"/>
                </w14:solidFill>
              </w14:textFill>
            </w:rPr>
            <w:t>/T 16716.1 的规定；使用前后不得随意丢弃，回收处置前需妥善收集保管，避免环境污染。</w:t>
          </w:r>
        </w:p>
        <w:p w14:paraId="5F89F1C9">
          <w:pPr>
            <w:widowControl/>
            <w:spacing w:before="120" w:beforeLines="50" w:after="120" w:afterLines="50" w:line="240" w:lineRule="auto"/>
            <w:jc w:val="left"/>
            <w:outlineLvl w:val="1"/>
            <w:rPr>
              <w:rFonts w:hAnsi="Times New Roman"/>
              <w:color w:val="000000" w:themeColor="text1"/>
              <w14:textFill>
                <w14:solidFill>
                  <w14:schemeClr w14:val="tx1"/>
                </w14:solidFill>
              </w14:textFill>
            </w:rPr>
          </w:pPr>
          <w:r>
            <w:rPr>
              <w:rFonts w:hint="eastAsia" w:hAnsi="Times New Roman"/>
              <w:color w:val="000000" w:themeColor="text1"/>
              <w14:textFill>
                <w14:solidFill>
                  <w14:schemeClr w14:val="tx1"/>
                </w14:solidFill>
              </w14:textFill>
            </w:rPr>
            <w:t>6</w:t>
          </w:r>
          <w:r>
            <w:rPr>
              <w:rFonts w:hint="eastAsia" w:hAnsi="Times New Roman"/>
              <w:color w:val="000000" w:themeColor="text1"/>
              <w:lang w:eastAsia="zh-CN"/>
              <w14:textFill>
                <w14:solidFill>
                  <w14:schemeClr w14:val="tx1"/>
                </w14:solidFill>
              </w14:textFill>
            </w:rPr>
            <w:t xml:space="preserve"> </w:t>
          </w:r>
          <w:r>
            <w:rPr>
              <w:rFonts w:hint="eastAsia" w:ascii="黑体" w:hAnsi="黑体" w:eastAsia="黑体" w:cs="黑体"/>
              <w:color w:val="000000" w:themeColor="text1"/>
              <w14:textFill>
                <w14:solidFill>
                  <w14:schemeClr w14:val="tx1"/>
                </w14:solidFill>
              </w14:textFill>
            </w:rPr>
            <w:t>品种选择</w:t>
          </w:r>
          <w:bookmarkEnd w:id="57"/>
        </w:p>
        <w:p w14:paraId="4A0DA82D">
          <w:pPr>
            <w:widowControl/>
            <w:spacing w:line="240" w:lineRule="auto"/>
            <w:jc w:val="left"/>
            <w:rPr>
              <w:color w:val="000000" w:themeColor="text1"/>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6.1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选择适应当地气候条件、优质、丰产、稳产、适合市场需求的多季或特色优良品种。</w:t>
          </w:r>
        </w:p>
        <w:p w14:paraId="08F99F5E">
          <w:pPr>
            <w:widowControl/>
            <w:spacing w:line="240" w:lineRule="auto"/>
            <w:jc w:val="left"/>
            <w:rPr>
              <w:rFonts w:ascii="宋体" w:hAnsi="Times New Roman"/>
              <w:color w:val="000000" w:themeColor="text1"/>
              <w:kern w:val="0"/>
              <w:szCs w:val="2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6.2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推荐抗逆性强的优良品种，如</w:t>
          </w:r>
          <w:r>
            <w:rPr>
              <w:rFonts w:hint="eastAsia" w:ascii="宋体" w:hAnsi="Times New Roman"/>
              <w:color w:val="000000" w:themeColor="text1"/>
              <w:kern w:val="0"/>
              <w:szCs w:val="20"/>
              <w:lang w:bidi="ar"/>
              <w14:textFill>
                <w14:solidFill>
                  <w14:schemeClr w14:val="tx1"/>
                </w14:solidFill>
              </w14:textFill>
            </w:rPr>
            <w:t>‘琼引1号’菠萝蜜、‘香蜜17号’菠萝蜜等特色品种。</w:t>
          </w:r>
        </w:p>
        <w:p w14:paraId="6B638488">
          <w:pPr>
            <w:pStyle w:val="14"/>
            <w:spacing w:line="240" w:lineRule="auto"/>
            <w:ind w:left="0" w:leftChars="0" w:right="1470"/>
            <w:rPr>
              <w:color w:val="000000" w:themeColor="text1"/>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6.3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同一果园不宜选择成熟期差异大的</w:t>
          </w:r>
          <w:r>
            <w:rPr>
              <w:rFonts w:hint="eastAsia" w:ascii="宋体" w:hAnsi="Times New Roman"/>
              <w:color w:val="000000" w:themeColor="text1"/>
              <w:kern w:val="0"/>
              <w:szCs w:val="20"/>
              <w:lang w:bidi="ar"/>
              <w14:textFill>
                <w14:solidFill>
                  <w14:schemeClr w14:val="tx1"/>
                </w14:solidFill>
              </w14:textFill>
            </w:rPr>
            <w:t>品种</w:t>
          </w:r>
          <w:r>
            <w:rPr>
              <w:rFonts w:hint="eastAsia"/>
              <w:color w:val="000000" w:themeColor="text1"/>
              <w:lang w:bidi="ar"/>
              <w14:textFill>
                <w14:solidFill>
                  <w14:schemeClr w14:val="tx1"/>
                </w14:solidFill>
              </w14:textFill>
            </w:rPr>
            <w:t>。</w:t>
          </w:r>
        </w:p>
        <w:p w14:paraId="63E035C3">
          <w:pPr>
            <w:pStyle w:val="14"/>
            <w:spacing w:line="240" w:lineRule="auto"/>
            <w:ind w:left="0" w:leftChars="0" w:right="1470"/>
            <w:rPr>
              <w:rFonts w:ascii="宋体" w:hAnsi="Times New Roman"/>
              <w:color w:val="000000" w:themeColor="text1"/>
              <w:kern w:val="0"/>
              <w:szCs w:val="2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6.4</w:t>
          </w:r>
          <w:r>
            <w:rPr>
              <w:rFonts w:hint="eastAsia" w:eastAsia="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不同品种菠萝蜜果实主要特征</w:t>
          </w:r>
          <w:r>
            <w:rPr>
              <w:rFonts w:hint="eastAsia" w:ascii="宋体" w:hAnsi="Times New Roman"/>
              <w:color w:val="000000" w:themeColor="text1"/>
              <w:kern w:val="0"/>
              <w:szCs w:val="20"/>
              <w:lang w:bidi="ar"/>
              <w14:textFill>
                <w14:solidFill>
                  <w14:schemeClr w14:val="tx1"/>
                </w14:solidFill>
              </w14:textFill>
            </w:rPr>
            <w:t>见附录A。</w:t>
          </w:r>
        </w:p>
        <w:p w14:paraId="2B7B6A75">
          <w:pPr>
            <w:pStyle w:val="106"/>
            <w:numPr>
              <w:ilvl w:val="0"/>
              <w:numId w:val="0"/>
            </w:numPr>
            <w:spacing w:before="240" w:after="240"/>
            <w:rPr>
              <w:color w:val="000000" w:themeColor="text1"/>
              <w14:textFill>
                <w14:solidFill>
                  <w14:schemeClr w14:val="tx1"/>
                </w14:solidFill>
              </w14:textFill>
            </w:rPr>
          </w:pPr>
          <w:bookmarkStart w:id="59" w:name="_Toc7676"/>
          <w:r>
            <w:rPr>
              <w:rFonts w:hint="eastAsia"/>
              <w:color w:val="000000" w:themeColor="text1"/>
              <w14:textFill>
                <w14:solidFill>
                  <w14:schemeClr w14:val="tx1"/>
                </w14:solidFill>
              </w14:textFill>
            </w:rPr>
            <w:t>7</w:t>
          </w:r>
          <w:r>
            <w:rPr>
              <w:rFonts w:hint="eastAsia"/>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种苗</w:t>
          </w:r>
          <w:bookmarkEnd w:id="58"/>
          <w:bookmarkEnd w:id="59"/>
        </w:p>
        <w:p w14:paraId="38AFE492">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60" w:name="_Toc6463"/>
          <w:bookmarkStart w:id="61" w:name="_Toc10618"/>
          <w:r>
            <w:rPr>
              <w:rFonts w:hint="eastAsia" w:ascii="黑体" w:hAnsi="宋体" w:eastAsia="黑体" w:cs="黑体"/>
              <w:color w:val="000000" w:themeColor="text1"/>
              <w:kern w:val="0"/>
              <w:lang w:bidi="ar"/>
              <w14:textFill>
                <w14:solidFill>
                  <w14:schemeClr w14:val="tx1"/>
                </w14:solidFill>
              </w14:textFill>
            </w:rPr>
            <w:t>7.1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种苗繁育</w:t>
          </w:r>
          <w:bookmarkEnd w:id="60"/>
          <w:bookmarkEnd w:id="61"/>
        </w:p>
        <w:p w14:paraId="4EE07541">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bookmarkStart w:id="62" w:name="_Toc17017"/>
          <w:r>
            <w:rPr>
              <w:rFonts w:hint="eastAsia" w:ascii="黑体" w:hAnsi="宋体" w:eastAsia="黑体" w:cs="黑体"/>
              <w:color w:val="000000" w:themeColor="text1"/>
              <w:kern w:val="0"/>
              <w:lang w:bidi="ar"/>
              <w14:textFill>
                <w14:solidFill>
                  <w14:schemeClr w14:val="tx1"/>
                </w14:solidFill>
              </w14:textFill>
            </w:rPr>
            <w:t>7.1.1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苗圃建立</w:t>
          </w:r>
          <w:bookmarkEnd w:id="62"/>
        </w:p>
        <w:p w14:paraId="13FF0BA5">
          <w:pPr>
            <w:pStyle w:val="58"/>
            <w:ind w:firstLine="0" w:firstLineChars="0"/>
            <w:rPr>
              <w:color w:val="000000" w:themeColor="text1"/>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7.1.1.1</w:t>
          </w:r>
          <w:r>
            <w:rPr>
              <w:rFonts w:hint="eastAsia"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苗圃应建在地势平坦，交通便利，光照充足和便于耕作的地方，地势坡度最大不超过</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5°，地下水位在</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l m</w:t>
          </w:r>
          <w:r>
            <w:rPr>
              <w:rFonts w:hint="eastAsia"/>
              <w:color w:val="000000" w:themeColor="text1"/>
              <w14:textFill>
                <w14:solidFill>
                  <w14:schemeClr w14:val="tx1"/>
                </w14:solidFill>
              </w14:textFill>
            </w:rPr>
            <w:t>以下，灌溉水源充足。</w:t>
          </w:r>
        </w:p>
        <w:p w14:paraId="3A6E61EE">
          <w:pPr>
            <w:pStyle w:val="58"/>
            <w:ind w:firstLine="0" w:firstLineChars="0"/>
            <w:rPr>
              <w:color w:val="000000" w:themeColor="text1"/>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7.1.1.2</w:t>
          </w:r>
          <w:r>
            <w:rPr>
              <w:rFonts w:hint="eastAsia" w:ascii="黑体" w:hAnsi="宋体" w:eastAsia="黑体" w:cs="黑体"/>
              <w:color w:val="000000" w:themeColor="text1"/>
              <w:szCs w:val="21"/>
              <w:lang w:eastAsia="zh-CN" w:bidi="ar"/>
              <w14:textFill>
                <w14:solidFill>
                  <w14:schemeClr w14:val="tx1"/>
                </w14:solidFill>
              </w14:textFill>
            </w:rPr>
            <w:t xml:space="preserve"> </w:t>
          </w:r>
          <w:r>
            <w:rPr>
              <w:rFonts w:hint="eastAsia"/>
              <w:color w:val="000000" w:themeColor="text1"/>
              <w14:textFill>
                <w14:solidFill>
                  <w14:schemeClr w14:val="tx1"/>
                </w14:solidFill>
              </w14:textFill>
            </w:rPr>
            <w:t>苗圃规划的区、畦，必须进行统一编号，对各区、畦内的实生砧木苗和嫁接苗品种要做好登记、建档保存，做到各品种、各批次苗木准确无误。</w:t>
          </w:r>
        </w:p>
        <w:p w14:paraId="37AFA8A6">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7.1.1.3</w:t>
          </w:r>
          <w:r>
            <w:rPr>
              <w:rFonts w:hint="eastAsia" w:eastAsia="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苗圃上方搭建遮阳网，遮光率</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50%～75%</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，遮阳网距离地面</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2.0 m～ 2.5</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m，畦面应配拱棚，拱棚略宽于畦面，高</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20</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cm～</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30</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cm。</w:t>
          </w:r>
        </w:p>
        <w:p w14:paraId="68E5C331">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bookmarkStart w:id="63" w:name="_Toc11622"/>
          <w:r>
            <w:rPr>
              <w:rFonts w:hint="eastAsia" w:ascii="黑体" w:hAnsi="宋体" w:eastAsia="黑体" w:cs="黑体"/>
              <w:color w:val="000000" w:themeColor="text1"/>
              <w:kern w:val="0"/>
              <w:lang w:bidi="ar"/>
              <w14:textFill>
                <w14:solidFill>
                  <w14:schemeClr w14:val="tx1"/>
                </w14:solidFill>
              </w14:textFill>
            </w:rPr>
            <w:t>7.1.2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砧木苗繁育</w:t>
          </w:r>
          <w:bookmarkEnd w:id="63"/>
        </w:p>
        <w:p w14:paraId="517E154D">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7.1.2.1</w:t>
          </w:r>
          <w:r>
            <w:rPr>
              <w:rFonts w:hint="eastAsia" w:ascii="黑体" w:hAnsi="宋体" w:eastAsia="黑体" w:cs="黑体"/>
              <w:color w:val="000000" w:themeColor="text1"/>
              <w:szCs w:val="21"/>
              <w:lang w:eastAsia="zh-CN" w:bidi="ar"/>
              <w14:textFill>
                <w14:solidFill>
                  <w14:schemeClr w14:val="tx1"/>
                </w14:solidFill>
              </w14:textFill>
            </w:rPr>
            <w:t xml:space="preserve"> </w:t>
          </w:r>
          <w:r>
            <w:rPr>
              <w:rFonts w:hint="eastAsia"/>
              <w:color w:val="000000" w:themeColor="text1"/>
              <w14:textFill>
                <w14:solidFill>
                  <w14:schemeClr w14:val="tx1"/>
                </w14:solidFill>
              </w14:textFill>
            </w:rPr>
            <w:t>选用发育饱满、充实、圆形至扁圆形的种子培育砧木苗，将种子清洗干净，置于清水中浸泡</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2</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d</w:t>
          </w:r>
          <w:r>
            <w:rPr>
              <w:rFonts w:hint="eastAsia"/>
              <w:color w:val="000000" w:themeColor="text1"/>
              <w:lang w:bidi="ar"/>
              <w14:textFill>
                <w14:solidFill>
                  <w14:schemeClr w14:val="tx1"/>
                </w14:solidFill>
              </w14:textFill>
            </w:rPr>
            <w:t>～3</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d催芽至露白，其间换水</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1</w:t>
          </w:r>
          <w:r>
            <w:rPr>
              <w:rFonts w:hint="eastAsia" w:ascii="MS Mincho" w:hAnsi="MS Mincho" w:cs="MS Mincho"/>
              <w:color w:val="000000" w:themeColor="text1"/>
              <w:sz w:val="22"/>
              <w:szCs w:val="22"/>
              <w:lang w:val="en-US" w:eastAsia="zh-CN"/>
              <w14:textFill>
                <w14:solidFill>
                  <w14:schemeClr w14:val="tx1"/>
                </w14:solidFill>
              </w14:textFill>
            </w:rPr>
            <w:t xml:space="preserve"> </w:t>
          </w:r>
          <w:r>
            <w:rPr>
              <w:rFonts w:hint="eastAsia"/>
              <w:color w:val="000000" w:themeColor="text1"/>
              <w:lang w:bidi="ar"/>
              <w14:textFill>
                <w14:solidFill>
                  <w14:schemeClr w14:val="tx1"/>
                </w14:solidFill>
              </w14:textFill>
            </w:rPr>
            <w:t>次～2</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次，一般播种前用浓度不高于</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500</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mg/L的赤霉素（GA3）浸种</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48</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h</w:t>
          </w:r>
          <w:r>
            <w:rPr>
              <w:rFonts w:hint="eastAsia"/>
              <w:color w:val="000000" w:themeColor="text1"/>
              <w:lang w:eastAsia="zh-CN" w:bidi="ar"/>
              <w14:textFill>
                <w14:solidFill>
                  <w14:schemeClr w14:val="tx1"/>
                </w14:solidFill>
              </w14:textFill>
            </w:rPr>
            <w:t>，</w:t>
          </w:r>
          <w:r>
            <w:rPr>
              <w:rFonts w:hint="eastAsia"/>
              <w:color w:val="000000" w:themeColor="text1"/>
              <w:lang w:val="en-US" w:eastAsia="zh-CN" w:bidi="ar"/>
              <w14:textFill>
                <w14:solidFill>
                  <w14:schemeClr w14:val="tx1"/>
                </w14:solidFill>
              </w14:textFill>
            </w:rPr>
            <w:t>发芽率可达 100%</w:t>
          </w:r>
          <w:r>
            <w:rPr>
              <w:rFonts w:hint="eastAsia"/>
              <w:color w:val="000000" w:themeColor="text1"/>
              <w:lang w:bidi="ar"/>
              <w14:textFill>
                <w14:solidFill>
                  <w14:schemeClr w14:val="tx1"/>
                </w14:solidFill>
              </w14:textFill>
            </w:rPr>
            <w:t>。</w:t>
          </w:r>
        </w:p>
        <w:p w14:paraId="6D041764">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7.1.2.2</w:t>
          </w:r>
          <w:r>
            <w:rPr>
              <w:rFonts w:hint="eastAsia" w:eastAsia="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准备好营养袋和育苗基质。营养袋的规格高为</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18</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cm～20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cm，口部直径为</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10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cm～12</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cm，可选用塑料材质或无纺布材质。育苗基质通常选用肥沃、消毒杀菌过的红壤土、地表土等、充分腐熟的粪肥或土杂肥与椰糠或枯草按</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8:1:1</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的比例混配得到，充分拌匀后备用。</w:t>
          </w:r>
        </w:p>
        <w:p w14:paraId="51025129">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7.1.2.3</w:t>
          </w:r>
          <w:r>
            <w:rPr>
              <w:rFonts w:hint="eastAsia" w:eastAsia="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将已填充基质的营养袋在苗圃地表紧密排列成宽</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80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cm～100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cm的育苗带，带与带之间相距</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35 cm～40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w:t>
          </w:r>
        </w:p>
        <w:p w14:paraId="60F07938">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7.1.2.4</w:t>
          </w:r>
          <w:r>
            <w:rPr>
              <w:rFonts w:hint="eastAsia" w:ascii="黑体" w:hAnsi="宋体" w:eastAsia="黑体" w:cs="黑体"/>
              <w:color w:val="000000" w:themeColor="text1"/>
              <w:szCs w:val="2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将催芽后的种子直接播种到装有基质的营养袋中，每袋</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1</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粒，种子置于容器口中心位置，覆盖</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cm</w:t>
          </w:r>
          <w:r>
            <w:rPr>
              <w:rFonts w:hint="eastAsia"/>
              <w:color w:val="000000" w:themeColor="text1"/>
              <w:lang w:bidi="ar"/>
              <w14:textFill>
                <w14:solidFill>
                  <w14:schemeClr w14:val="tx1"/>
                </w14:solidFill>
              </w14:textFill>
            </w:rPr>
            <w:t>～2</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cm的基质，定期浇水保持基质湿润。</w:t>
          </w:r>
        </w:p>
        <w:p w14:paraId="046745B2">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7.1.2.5</w:t>
          </w:r>
          <w:r>
            <w:rPr>
              <w:rFonts w:hint="eastAsia" w:ascii="黑体" w:hAnsi="宋体" w:eastAsia="黑体" w:cs="黑体"/>
              <w:color w:val="000000" w:themeColor="text1"/>
              <w:szCs w:val="2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加强砧木苗的肥水管理和病虫害防治。每月淋施</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1</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次</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0.3%</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的尿素和</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0.2%</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的磷酸二氢钾水溶液，或相当肥效的其他肥料。种苗常见病虫害防治方法参见附录C、D。</w:t>
          </w:r>
        </w:p>
        <w:p w14:paraId="08E963CE">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64" w:name="_Toc27408"/>
          <w:r>
            <w:rPr>
              <w:rFonts w:hint="eastAsia" w:ascii="黑体" w:hAnsi="宋体" w:eastAsia="黑体" w:cs="黑体"/>
              <w:color w:val="000000" w:themeColor="text1"/>
              <w:kern w:val="0"/>
              <w:lang w:bidi="ar"/>
              <w14:textFill>
                <w14:solidFill>
                  <w14:schemeClr w14:val="tx1"/>
                </w14:solidFill>
              </w14:textFill>
            </w:rPr>
            <w:t>7.1.3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嫁接</w:t>
          </w:r>
          <w:bookmarkEnd w:id="64"/>
          <w:r>
            <w:rPr>
              <w:rFonts w:hint="eastAsia" w:ascii="黑体" w:hAnsi="宋体" w:eastAsia="黑体" w:cs="黑体"/>
              <w:color w:val="000000" w:themeColor="text1"/>
              <w:kern w:val="0"/>
              <w:lang w:bidi="ar"/>
              <w14:textFill>
                <w14:solidFill>
                  <w14:schemeClr w14:val="tx1"/>
                </w14:solidFill>
              </w14:textFill>
            </w:rPr>
            <w:t>前准备</w:t>
          </w:r>
        </w:p>
        <w:p w14:paraId="7CA69AC4">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7.1.3.1</w:t>
          </w:r>
          <w:r>
            <w:rPr>
              <w:rFonts w:hint="eastAsia" w:ascii="黑体" w:hAnsi="宋体" w:eastAsia="黑体" w:cs="黑体"/>
              <w:color w:val="000000" w:themeColor="text1"/>
              <w:szCs w:val="2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当砧木苗距离地面</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100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cm～115</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cm高处的直径达到</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1 cm～2</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cm时即可嫁接。</w:t>
          </w:r>
        </w:p>
        <w:p w14:paraId="1E8C559B">
          <w:pPr>
            <w:pStyle w:val="58"/>
            <w:ind w:firstLine="0" w:firstLineChars="0"/>
            <w:rPr>
              <w:color w:val="000000" w:themeColor="text1"/>
              <w:lang w:bidi="ar"/>
              <w14:textFill>
                <w14:solidFill>
                  <w14:schemeClr w14:val="tx1"/>
                </w14:solidFill>
              </w14:textFill>
            </w:rPr>
          </w:pPr>
          <w:r>
            <w:rPr>
              <w:rFonts w:hint="eastAsia" w:ascii="黑体" w:hAnsi="宋体" w:eastAsia="黑体" w:cs="黑体"/>
              <w:color w:val="000000" w:themeColor="text1"/>
              <w:szCs w:val="21"/>
              <w:lang w:bidi="ar"/>
              <w14:textFill>
                <w14:solidFill>
                  <w14:schemeClr w14:val="tx1"/>
                </w14:solidFill>
              </w14:textFill>
            </w:rPr>
            <w:t>7.1.3.2</w:t>
          </w:r>
          <w:r>
            <w:rPr>
              <w:rFonts w:hint="eastAsia" w:ascii="黑体" w:hAnsi="宋体" w:eastAsia="黑体" w:cs="黑体"/>
              <w:color w:val="000000" w:themeColor="text1"/>
              <w:szCs w:val="21"/>
              <w:lang w:eastAsia="zh-CN" w:bidi="ar"/>
              <w14:textFill>
                <w14:solidFill>
                  <w14:schemeClr w14:val="tx1"/>
                </w14:solidFill>
              </w14:textFill>
            </w:rPr>
            <w:t xml:space="preserve"> </w:t>
          </w:r>
          <w:r>
            <w:rPr>
              <w:rFonts w:hint="eastAsia"/>
              <w:color w:val="000000" w:themeColor="text1"/>
              <w14:textFill>
                <w14:solidFill>
                  <w14:schemeClr w14:val="tx1"/>
                </w14:solidFill>
              </w14:textFill>
            </w:rPr>
            <w:t>选取结果不短于</w:t>
          </w:r>
          <w:r>
            <w:rPr>
              <w:rFonts w:hint="eastAsia"/>
              <w:color w:val="000000" w:themeColor="text1"/>
              <w:lang w:val="en-US" w:eastAsia="zh-CN"/>
              <w14:textFill>
                <w14:solidFill>
                  <w14:schemeClr w14:val="tx1"/>
                </w14:solidFill>
              </w14:textFill>
            </w:rPr>
            <w:t xml:space="preserve"> 3 </w:t>
          </w:r>
          <w:r>
            <w:rPr>
              <w:rFonts w:hint="eastAsia"/>
              <w:color w:val="000000" w:themeColor="text1"/>
              <w14:textFill>
                <w14:solidFill>
                  <w14:schemeClr w14:val="tx1"/>
                </w14:solidFill>
              </w14:textFill>
            </w:rPr>
            <w:t>年的高产稳产优质、各性状表现优良的植株作为母株，在此母株上选择粗壮、向阳、1</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年生以上、直径达</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0.6</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14:textFill>
                <w14:solidFill>
                  <w14:schemeClr w14:val="tx1"/>
                </w14:solidFill>
              </w14:textFill>
            </w:rPr>
            <w:t>cm</w:t>
          </w:r>
          <w:r>
            <w:rPr>
              <w:rFonts w:hint="eastAsia"/>
              <w:color w:val="000000" w:themeColor="text1"/>
              <w:lang w:bidi="ar"/>
              <w14:textFill>
                <w14:solidFill>
                  <w14:schemeClr w14:val="tx1"/>
                </w14:solidFill>
              </w14:textFill>
            </w:rPr>
            <w:t>～0.8</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cm</w:t>
          </w:r>
          <w:r>
            <w:rPr>
              <w:rFonts w:hint="eastAsia"/>
              <w:color w:val="000000" w:themeColor="text1"/>
              <w14:textFill>
                <w14:solidFill>
                  <w14:schemeClr w14:val="tx1"/>
                </w14:solidFill>
              </w14:textFill>
            </w:rPr>
            <w:t>、表皮呈黄褐色、芽眼饱满、充实老熟的枝条作为接穗。</w:t>
          </w:r>
          <w:r>
            <w:rPr>
              <w:rFonts w:hint="eastAsia"/>
              <w:color w:val="000000" w:themeColor="text1"/>
              <w:lang w:bidi="ar"/>
              <w14:textFill>
                <w14:solidFill>
                  <w14:schemeClr w14:val="tx1"/>
                </w14:solidFill>
              </w14:textFill>
            </w:rPr>
            <w:t>采下后剪去叶片并保留叶柄</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0.3</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cm左右，以同一个方向摆放整齐，每段穗条长</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25</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cm～35</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cm，按照每捆</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40 条～50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条包扎备用，标注品种、数量、采集地点、时间等信息。接穗应随采随用，确实需要保存的，用不滴水的湿毛巾包裹芽条，装于塑料袋或纸箱中，置于阴凉处保存，但最长保存时间不宜超过</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1</w:t>
          </w:r>
          <w:r>
            <w:rPr>
              <w:rFonts w:hint="eastAsia" w:ascii="MS Mincho" w:hAnsi="MS Mincho" w:cs="MS Mincho"/>
              <w:color w:val="000000" w:themeColor="text1"/>
              <w:sz w:val="22"/>
              <w:szCs w:val="22"/>
              <w:lang w:eastAsia="zh-CN"/>
              <w14:textFill>
                <w14:solidFill>
                  <w14:schemeClr w14:val="tx1"/>
                </w14:solidFill>
              </w14:textFill>
            </w:rPr>
            <w:t xml:space="preserve"> d</w:t>
          </w:r>
          <w:r>
            <w:rPr>
              <w:rFonts w:hint="eastAsia"/>
              <w:color w:val="000000" w:themeColor="text1"/>
              <w:lang w:bidi="ar"/>
              <w14:textFill>
                <w14:solidFill>
                  <w14:schemeClr w14:val="tx1"/>
                </w14:solidFill>
              </w14:textFill>
            </w:rPr>
            <w:t>。</w:t>
          </w:r>
        </w:p>
        <w:p w14:paraId="08BCCD4A">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7.1.4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嫁接时期</w:t>
          </w:r>
        </w:p>
        <w:p w14:paraId="4E1C4947">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宜</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4</w:t>
          </w:r>
          <w:r>
            <w:rPr>
              <w:rFonts w:hint="eastAsia" w:ascii="MS Mincho" w:hAnsi="MS Mincho" w:cs="MS Mincho"/>
              <w:color w:val="000000" w:themeColor="text1"/>
              <w:sz w:val="22"/>
              <w:szCs w:val="22"/>
              <w:lang w:val="en-US" w:eastAsia="zh-CN"/>
              <w14:textFill>
                <w14:solidFill>
                  <w14:schemeClr w14:val="tx1"/>
                </w14:solidFill>
              </w14:textFill>
            </w:rPr>
            <w:t xml:space="preserve"> </w:t>
          </w:r>
          <w:r>
            <w:rPr>
              <w:rFonts w:hint="eastAsia"/>
              <w:color w:val="000000" w:themeColor="text1"/>
              <w:lang w:bidi="ar"/>
              <w14:textFill>
                <w14:solidFill>
                  <w14:schemeClr w14:val="tx1"/>
                </w14:solidFill>
              </w14:textFill>
            </w:rPr>
            <w:t>月～</w:t>
          </w:r>
          <w:r>
            <w:rPr>
              <w:rFonts w:hint="eastAsia"/>
              <w:color w:val="000000" w:themeColor="text1"/>
              <w:lang w:val="en-US" w:eastAsia="zh-CN" w:bidi="ar"/>
              <w14:textFill>
                <w14:solidFill>
                  <w14:schemeClr w14:val="tx1"/>
                </w14:solidFill>
              </w14:textFill>
            </w:rPr>
            <w:t>10</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月嫁接，为树液流动期，砧木和接穗较易起皮，可提高嫁接成活率。阴雨和大风天不宜嫁接。</w:t>
          </w:r>
        </w:p>
        <w:p w14:paraId="2E3407E1">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7.1.5</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嫁接方法</w:t>
          </w:r>
        </w:p>
        <w:p w14:paraId="1D1F0979">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推荐采用补片芽接法，该法适用于枝条易剥皮的时期。补片芽接方法和步骤见附录B。</w:t>
          </w:r>
        </w:p>
        <w:p w14:paraId="4ABB2C6A">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7.1.6</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嫁接苗管理</w:t>
          </w:r>
        </w:p>
        <w:p w14:paraId="09A3C6F6">
          <w:pPr>
            <w:pStyle w:val="58"/>
            <w:ind w:firstLine="0" w:firstLineChars="0"/>
            <w:rPr>
              <w:color w:val="000000" w:themeColor="text1"/>
              <w:lang w:bidi="ar"/>
              <w14:textFill>
                <w14:solidFill>
                  <w14:schemeClr w14:val="tx1"/>
                </w14:solidFill>
              </w14:textFill>
            </w:rPr>
          </w:pPr>
          <w:bookmarkStart w:id="65" w:name="OLE_LINK7"/>
          <w:r>
            <w:rPr>
              <w:rFonts w:hint="eastAsia" w:ascii="黑体" w:eastAsia="黑体"/>
              <w:color w:val="000000" w:themeColor="text1"/>
              <w14:textFill>
                <w14:solidFill>
                  <w14:schemeClr w14:val="tx1"/>
                </w14:solidFill>
              </w14:textFill>
            </w:rPr>
            <w:t>7.1.</w:t>
          </w:r>
          <w:bookmarkEnd w:id="65"/>
          <w:r>
            <w:rPr>
              <w:rFonts w:hint="eastAsia" w:ascii="黑体" w:eastAsia="黑体"/>
              <w:color w:val="000000" w:themeColor="text1"/>
              <w14:textFill>
                <w14:solidFill>
                  <w14:schemeClr w14:val="tx1"/>
                </w14:solidFill>
              </w14:textFill>
            </w:rPr>
            <w:t>6.1</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嫁接后</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3</w:t>
          </w:r>
          <w:r>
            <w:rPr>
              <w:rFonts w:hint="eastAsia" w:ascii="MS Mincho" w:hAnsi="MS Mincho" w:cs="MS Mincho"/>
              <w:color w:val="000000" w:themeColor="text1"/>
              <w:sz w:val="22"/>
              <w:szCs w:val="22"/>
              <w:lang w:eastAsia="zh-CN"/>
              <w14:textFill>
                <w14:solidFill>
                  <w14:schemeClr w14:val="tx1"/>
                </w14:solidFill>
              </w14:textFill>
            </w:rPr>
            <w:t xml:space="preserve"> d</w:t>
          </w:r>
          <w:r>
            <w:rPr>
              <w:rFonts w:hint="eastAsia"/>
              <w:color w:val="000000" w:themeColor="text1"/>
              <w:lang w:bidi="ar"/>
              <w14:textFill>
                <w14:solidFill>
                  <w14:schemeClr w14:val="tx1"/>
                </w14:solidFill>
              </w14:textFill>
            </w:rPr>
            <w:t>内嫁接口不能淋水，</w:t>
          </w:r>
          <w:r>
            <w:rPr>
              <w:rFonts w:hint="eastAsia" w:hAnsi="宋体" w:cs="宋体"/>
              <w:color w:val="000000" w:themeColor="text1"/>
              <w:szCs w:val="21"/>
              <w:lang w:bidi="ar"/>
              <w14:textFill>
                <w14:solidFill>
                  <w14:schemeClr w14:val="tx1"/>
                </w14:solidFill>
              </w14:textFill>
            </w:rPr>
            <w:t>嫁接口不能积水</w:t>
          </w:r>
          <w:r>
            <w:rPr>
              <w:rFonts w:hint="eastAsia"/>
              <w:color w:val="000000" w:themeColor="text1"/>
              <w:lang w:bidi="ar"/>
              <w14:textFill>
                <w14:solidFill>
                  <w14:schemeClr w14:val="tx1"/>
                </w14:solidFill>
              </w14:textFill>
            </w:rPr>
            <w:t>。</w:t>
          </w:r>
        </w:p>
        <w:p w14:paraId="6B1486C8">
          <w:pPr>
            <w:pStyle w:val="58"/>
            <w:ind w:firstLine="0" w:firstLineChars="0"/>
            <w:rPr>
              <w:color w:val="000000" w:themeColor="text1"/>
              <w:lang w:bidi="ar"/>
              <w14:textFill>
                <w14:solidFill>
                  <w14:schemeClr w14:val="tx1"/>
                </w14:solidFill>
              </w14:textFill>
            </w:rPr>
          </w:pPr>
          <w:r>
            <w:rPr>
              <w:rFonts w:hint="eastAsia" w:ascii="黑体" w:eastAsia="黑体"/>
              <w:color w:val="000000" w:themeColor="text1"/>
              <w14:textFill>
                <w14:solidFill>
                  <w14:schemeClr w14:val="tx1"/>
                </w14:solidFill>
              </w14:textFill>
            </w:rPr>
            <w:t>7.1.6.2</w:t>
          </w:r>
          <w:r>
            <w:rPr>
              <w:rFonts w:hint="eastAsia" w:ascii="黑体" w:hAnsi="宋体" w:eastAsia="黑体" w:cs="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3</w:t>
          </w:r>
          <w:r>
            <w:rPr>
              <w:rFonts w:hint="eastAsia" w:ascii="MS Mincho" w:hAnsi="MS Mincho" w:cs="MS Mincho"/>
              <w:color w:val="000000" w:themeColor="text1"/>
              <w:sz w:val="22"/>
              <w:szCs w:val="22"/>
              <w:lang w:val="en-US" w:eastAsia="zh-CN"/>
              <w14:textFill>
                <w14:solidFill>
                  <w14:schemeClr w14:val="tx1"/>
                </w14:solidFill>
              </w14:textFill>
            </w:rPr>
            <w:t xml:space="preserve"> </w:t>
          </w:r>
          <w:r>
            <w:rPr>
              <w:rFonts w:hint="eastAsia"/>
              <w:color w:val="000000" w:themeColor="text1"/>
              <w:lang w:bidi="ar"/>
              <w14:textFill>
                <w14:solidFill>
                  <w14:schemeClr w14:val="tx1"/>
                </w14:solidFill>
              </w14:textFill>
            </w:rPr>
            <w:t>d后如遇天气干旱，应每隔</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7 d～10</w:t>
          </w:r>
          <w:r>
            <w:rPr>
              <w:rFonts w:hint="eastAsia"/>
              <w:color w:val="000000" w:themeColor="text1"/>
              <w:lang w:eastAsia="zh-CN" w:bidi="ar"/>
              <w14:textFill>
                <w14:solidFill>
                  <w14:schemeClr w14:val="tx1"/>
                </w14:solidFill>
              </w14:textFill>
            </w:rPr>
            <w:t xml:space="preserve"> </w:t>
          </w:r>
          <w:r>
            <w:rPr>
              <w:rFonts w:hint="eastAsia"/>
              <w:color w:val="000000" w:themeColor="text1"/>
              <w:lang w:val="en-US" w:eastAsia="zh-CN" w:bidi="ar"/>
              <w14:textFill>
                <w14:solidFill>
                  <w14:schemeClr w14:val="tx1"/>
                </w14:solidFill>
              </w14:textFill>
            </w:rPr>
            <w:t>d</w:t>
          </w:r>
          <w:r>
            <w:rPr>
              <w:rFonts w:hint="eastAsia"/>
              <w:color w:val="000000" w:themeColor="text1"/>
              <w:lang w:bidi="ar"/>
              <w14:textFill>
                <w14:solidFill>
                  <w14:schemeClr w14:val="tx1"/>
                </w14:solidFill>
              </w14:textFill>
            </w:rPr>
            <w:t>灌水一次，但不施肥。</w:t>
          </w:r>
        </w:p>
        <w:p w14:paraId="0D83A86F">
          <w:pPr>
            <w:pStyle w:val="58"/>
            <w:ind w:firstLine="0" w:firstLineChars="0"/>
            <w:rPr>
              <w:color w:val="000000" w:themeColor="text1"/>
              <w:lang w:bidi="ar"/>
              <w14:textFill>
                <w14:solidFill>
                  <w14:schemeClr w14:val="tx1"/>
                </w14:solidFill>
              </w14:textFill>
            </w:rPr>
          </w:pPr>
          <w:r>
            <w:rPr>
              <w:rFonts w:hint="eastAsia" w:ascii="黑体" w:eastAsia="黑体"/>
              <w:color w:val="000000" w:themeColor="text1"/>
              <w14:textFill>
                <w14:solidFill>
                  <w14:schemeClr w14:val="tx1"/>
                </w14:solidFill>
              </w14:textFill>
            </w:rPr>
            <w:t>7.1.6.3</w:t>
          </w:r>
          <w:r>
            <w:rPr>
              <w:rFonts w:hint="eastAsia" w:eastAsia="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待抽出一批梢老熟后，应每隔</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10</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d～15</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d施一次花生饼、鸡屎、磷肥沤制的水肥。施肥以勤施薄施为原则。同时，应进行</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2</w:t>
          </w:r>
          <w:r>
            <w:rPr>
              <w:rFonts w:hint="eastAsia" w:ascii="MS Mincho" w:hAnsi="MS Mincho" w:cs="MS Mincho"/>
              <w:color w:val="000000" w:themeColor="text1"/>
              <w:sz w:val="22"/>
              <w:szCs w:val="22"/>
              <w:lang w:val="en-US" w:eastAsia="zh-CN"/>
              <w14:textFill>
                <w14:solidFill>
                  <w14:schemeClr w14:val="tx1"/>
                </w14:solidFill>
              </w14:textFill>
            </w:rPr>
            <w:t xml:space="preserve"> </w:t>
          </w:r>
          <w:r>
            <w:rPr>
              <w:rFonts w:hint="eastAsia"/>
              <w:color w:val="000000" w:themeColor="text1"/>
              <w:lang w:bidi="ar"/>
              <w14:textFill>
                <w14:solidFill>
                  <w14:schemeClr w14:val="tx1"/>
                </w14:solidFill>
              </w14:textFill>
            </w:rPr>
            <w:t>次～3</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次叶面肥喷施，以提高植株营养水平，促进养分积累，可用</w:t>
          </w:r>
          <w:r>
            <w:rPr>
              <w:rFonts w:hint="eastAsia" w:ascii="MS Mincho" w:hAnsi="MS Mincho" w:cs="MS Mincho"/>
              <w:color w:val="000000" w:themeColor="text1"/>
              <w:sz w:val="22"/>
              <w:szCs w:val="22"/>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1</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%～2</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%尿素溶液。</w:t>
          </w:r>
        </w:p>
        <w:p w14:paraId="0EE174E2">
          <w:pPr>
            <w:pStyle w:val="58"/>
            <w:ind w:firstLine="0" w:firstLineChars="0"/>
            <w:rPr>
              <w:color w:val="000000" w:themeColor="text1"/>
              <w:lang w:bidi="ar"/>
              <w14:textFill>
                <w14:solidFill>
                  <w14:schemeClr w14:val="tx1"/>
                </w14:solidFill>
              </w14:textFill>
            </w:rPr>
          </w:pPr>
          <w:r>
            <w:rPr>
              <w:rFonts w:hint="eastAsia" w:ascii="黑体" w:eastAsia="黑体"/>
              <w:color w:val="000000" w:themeColor="text1"/>
              <w14:textFill>
                <w14:solidFill>
                  <w14:schemeClr w14:val="tx1"/>
                </w14:solidFill>
              </w14:textFill>
            </w:rPr>
            <w:t>7.1.6.4</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lang w:bidi="ar"/>
              <w14:textFill>
                <w14:solidFill>
                  <w14:schemeClr w14:val="tx1"/>
                </w14:solidFill>
              </w14:textFill>
            </w:rPr>
            <w:t>待苗木抽出二批梢老熟后即可出圃。</w:t>
          </w:r>
        </w:p>
        <w:p w14:paraId="7A4DAB4F">
          <w:pPr>
            <w:pStyle w:val="58"/>
            <w:ind w:firstLine="0" w:firstLineChars="0"/>
            <w:rPr>
              <w:color w:val="000000" w:themeColor="text1"/>
              <w:lang w:bidi="ar"/>
              <w14:textFill>
                <w14:solidFill>
                  <w14:schemeClr w14:val="tx1"/>
                </w14:solidFill>
              </w14:textFill>
            </w:rPr>
          </w:pPr>
          <w:r>
            <w:rPr>
              <w:rFonts w:hint="eastAsia" w:ascii="黑体" w:eastAsia="黑体"/>
              <w:color w:val="000000" w:themeColor="text1"/>
              <w14:textFill>
                <w14:solidFill>
                  <w14:schemeClr w14:val="tx1"/>
                </w14:solidFill>
              </w14:textFill>
            </w:rPr>
            <w:t>7.1.6.5</w:t>
          </w:r>
          <w:r>
            <w:rPr>
              <w:rFonts w:hint="eastAsia" w:eastAsia="黑体"/>
              <w:color w:val="000000" w:themeColor="text1"/>
              <w:lang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接穗萌芽展叶后，要注意防止金龟子、毒蛾等食叶害虫</w:t>
          </w:r>
          <w:r>
            <w:rPr>
              <w:rFonts w:hint="eastAsia"/>
              <w:color w:val="000000" w:themeColor="text1"/>
              <w:lang w:val="en-US" w:eastAsia="zh-CN" w:bidi="ar"/>
              <w14:textFill>
                <w14:solidFill>
                  <w14:schemeClr w14:val="tx1"/>
                </w14:solidFill>
              </w14:textFill>
            </w:rPr>
            <w:t>为</w:t>
          </w:r>
          <w:r>
            <w:rPr>
              <w:rFonts w:hint="eastAsia"/>
              <w:color w:val="000000" w:themeColor="text1"/>
              <w:lang w:bidi="ar"/>
              <w14:textFill>
                <w14:solidFill>
                  <w14:schemeClr w14:val="tx1"/>
                </w14:solidFill>
              </w14:textFill>
            </w:rPr>
            <w:t>害嫩梢嫩叶可用高效氯氰菊酯+甲维盐防治。要随时铲除杂草，同时及时抹除砧木上的枝芽，以保证苗木正常生长。常见病虫害防治方法参见附录C、D。</w:t>
          </w:r>
        </w:p>
        <w:p w14:paraId="10B1F229">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66" w:name="_Toc5681"/>
          <w:bookmarkStart w:id="67" w:name="_Toc22109"/>
          <w:r>
            <w:rPr>
              <w:rFonts w:hint="eastAsia" w:ascii="黑体" w:hAnsi="宋体" w:eastAsia="黑体" w:cs="黑体"/>
              <w:color w:val="000000" w:themeColor="text1"/>
              <w:kern w:val="0"/>
              <w:lang w:bidi="ar"/>
              <w14:textFill>
                <w14:solidFill>
                  <w14:schemeClr w14:val="tx1"/>
                </w14:solidFill>
              </w14:textFill>
            </w:rPr>
            <w:t>7.2</w:t>
          </w:r>
          <w:bookmarkEnd w:id="66"/>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种苗质量</w:t>
          </w:r>
          <w:bookmarkEnd w:id="67"/>
        </w:p>
        <w:p w14:paraId="15A3B722">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68" w:name="_Toc2599"/>
          <w:r>
            <w:rPr>
              <w:rFonts w:hint="eastAsia" w:ascii="黑体" w:hAnsi="宋体" w:eastAsia="黑体" w:cs="黑体"/>
              <w:color w:val="000000" w:themeColor="text1"/>
              <w:kern w:val="0"/>
              <w:lang w:bidi="ar"/>
              <w14:textFill>
                <w14:solidFill>
                  <w14:schemeClr w14:val="tx1"/>
                </w14:solidFill>
              </w14:textFill>
            </w:rPr>
            <w:t>7.2.1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基本要求</w:t>
          </w:r>
          <w:bookmarkEnd w:id="68"/>
        </w:p>
        <w:p w14:paraId="44B55B95">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嫁接苗木应符合以下要求：</w:t>
          </w:r>
        </w:p>
        <w:p w14:paraId="7C8740DC">
          <w:pPr>
            <w:pStyle w:val="58"/>
            <w:ind w:firstLine="420"/>
            <w:rPr>
              <w:lang w:bidi="ar"/>
            </w:rPr>
          </w:pPr>
          <w:r>
            <w:rPr>
              <w:rFonts w:hint="eastAsia"/>
              <w:color w:val="000000" w:themeColor="text1"/>
              <w:lang w:bidi="ar"/>
              <w14:textFill>
                <w14:solidFill>
                  <w14:schemeClr w14:val="tx1"/>
                </w14:solidFill>
              </w14:textFill>
            </w:rPr>
            <w:t>——品种纯度≥</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99.0</w:t>
          </w:r>
          <w:r>
            <w:rPr>
              <w:rFonts w:hint="eastAsia" w:ascii="MS Mincho" w:hAnsi="MS Mincho" w:eastAsia="MS Mincho" w:cs="MS Mincho"/>
              <w:color w:val="000000" w:themeColor="text1"/>
              <w:sz w:val="22"/>
              <w:szCs w:val="22"/>
              <w14:textFill>
                <w14:solidFill>
                  <w14:schemeClr w14:val="tx1"/>
                </w14:solidFill>
              </w14:textFill>
            </w:rPr>
            <w:t> </w:t>
          </w:r>
          <w:r>
            <w:rPr>
              <w:rFonts w:hint="eastAsia"/>
              <w:color w:val="000000" w:themeColor="text1"/>
              <w:lang w:bidi="ar"/>
              <w14:textFill>
                <w14:solidFill>
                  <w14:schemeClr w14:val="tx1"/>
                </w14:solidFill>
              </w14:textFill>
            </w:rPr>
            <w:t>%</w:t>
          </w:r>
          <w:r>
            <w:rPr>
              <w:rFonts w:hint="eastAsia"/>
              <w:lang w:bidi="ar"/>
            </w:rPr>
            <w:t>；</w:t>
          </w:r>
        </w:p>
        <w:p w14:paraId="6BD0410A">
          <w:pPr>
            <w:pStyle w:val="58"/>
            <w:ind w:firstLine="420"/>
            <w:rPr>
              <w:lang w:bidi="ar"/>
            </w:rPr>
          </w:pPr>
          <w:r>
            <w:rPr>
              <w:rFonts w:hint="eastAsia"/>
              <w:lang w:bidi="ar"/>
            </w:rPr>
            <w:t>——苗木生长正常，茎、枝无破皮或断裂等严重机械损伤；</w:t>
          </w:r>
        </w:p>
        <w:p w14:paraId="2F5C060F">
          <w:pPr>
            <w:pStyle w:val="58"/>
            <w:ind w:firstLine="420"/>
            <w:rPr>
              <w:lang w:bidi="ar"/>
            </w:rPr>
          </w:pPr>
          <w:r>
            <w:rPr>
              <w:rFonts w:hint="eastAsia"/>
              <w:lang w:bidi="ar"/>
            </w:rPr>
            <w:t>——新梢老熟，叶片完整，叶色浓绿，富有光泽；</w:t>
          </w:r>
        </w:p>
        <w:p w14:paraId="786136CD">
          <w:pPr>
            <w:pStyle w:val="58"/>
            <w:ind w:firstLine="420"/>
            <w:rPr>
              <w:lang w:bidi="ar"/>
            </w:rPr>
          </w:pPr>
          <w:r>
            <w:rPr>
              <w:rFonts w:hint="eastAsia"/>
              <w:lang w:bidi="ar"/>
            </w:rPr>
            <w:t>——嫁接口愈合良好，无肿大、粗皮或缚带绞缢现象；</w:t>
          </w:r>
        </w:p>
        <w:p w14:paraId="44805002">
          <w:pPr>
            <w:pStyle w:val="58"/>
            <w:ind w:firstLine="420"/>
            <w:rPr>
              <w:lang w:bidi="ar"/>
            </w:rPr>
          </w:pPr>
          <w:r>
            <w:rPr>
              <w:rFonts w:hint="eastAsia"/>
              <w:lang w:bidi="ar"/>
            </w:rPr>
            <w:t>——出圃时容器无明显破损，土团完整，无严重穿根现象；</w:t>
          </w:r>
        </w:p>
        <w:p w14:paraId="098A282F">
          <w:pPr>
            <w:pStyle w:val="58"/>
            <w:ind w:firstLine="420"/>
            <w:rPr>
              <w:rFonts w:ascii="黑体" w:hAnsi="宋体" w:eastAsia="黑体" w:cs="黑体"/>
              <w:lang w:bidi="ar"/>
            </w:rPr>
          </w:pPr>
          <w:r>
            <w:rPr>
              <w:rFonts w:hint="eastAsia"/>
              <w:lang w:bidi="ar"/>
            </w:rPr>
            <w:t>——无检疫性病虫害。</w:t>
          </w:r>
        </w:p>
        <w:p w14:paraId="1434432E">
          <w:pPr>
            <w:widowControl/>
            <w:spacing w:before="120" w:beforeLines="50" w:after="120" w:afterLines="50" w:line="240" w:lineRule="auto"/>
            <w:jc w:val="left"/>
            <w:rPr>
              <w:rFonts w:ascii="黑体" w:hAnsi="宋体" w:eastAsia="黑体" w:cs="黑体"/>
              <w:kern w:val="0"/>
              <w:lang w:bidi="ar"/>
            </w:rPr>
          </w:pPr>
          <w:bookmarkStart w:id="69" w:name="_Toc10534"/>
          <w:r>
            <w:rPr>
              <w:rFonts w:hint="eastAsia" w:ascii="黑体" w:hAnsi="宋体" w:eastAsia="黑体" w:cs="黑体"/>
              <w:kern w:val="0"/>
              <w:lang w:bidi="ar"/>
            </w:rPr>
            <w:t>7.2.2</w:t>
          </w:r>
          <w:r>
            <w:rPr>
              <w:rFonts w:hint="eastAsia" w:ascii="黑体" w:hAnsi="宋体" w:eastAsia="黑体" w:cs="黑体"/>
              <w:kern w:val="0"/>
              <w:lang w:eastAsia="zh-CN" w:bidi="ar"/>
            </w:rPr>
            <w:t xml:space="preserve"> </w:t>
          </w:r>
          <w:r>
            <w:rPr>
              <w:rFonts w:hint="eastAsia" w:ascii="黑体" w:hAnsi="宋体" w:eastAsia="黑体" w:cs="黑体"/>
              <w:kern w:val="0"/>
              <w:lang w:bidi="ar"/>
            </w:rPr>
            <w:t>分级指标</w:t>
          </w:r>
          <w:bookmarkEnd w:id="69"/>
        </w:p>
        <w:p w14:paraId="340206B7">
          <w:pPr>
            <w:pStyle w:val="58"/>
            <w:ind w:firstLine="420"/>
            <w:rPr>
              <w:lang w:bidi="ar"/>
            </w:rPr>
          </w:pPr>
          <w:r>
            <w:rPr>
              <w:rFonts w:hint="eastAsia"/>
              <w:lang w:bidi="ar"/>
            </w:rPr>
            <w:t>嫁接苗木分级应符合表1的规定。</w:t>
          </w:r>
        </w:p>
        <w:p w14:paraId="4CC86D80">
          <w:pPr>
            <w:widowControl/>
            <w:spacing w:before="120" w:beforeLines="50" w:after="120" w:afterLines="50" w:line="240" w:lineRule="auto"/>
            <w:jc w:val="center"/>
            <w:rPr>
              <w:rFonts w:ascii="黑体" w:hAnsi="宋体" w:eastAsia="黑体" w:cs="黑体"/>
              <w:kern w:val="0"/>
              <w:lang w:bidi="ar"/>
            </w:rPr>
          </w:pPr>
          <w:bookmarkStart w:id="70" w:name="_Toc2739"/>
          <w:r>
            <w:rPr>
              <w:rFonts w:hint="eastAsia" w:ascii="黑体" w:hAnsi="宋体" w:eastAsia="黑体" w:cs="黑体"/>
              <w:kern w:val="0"/>
              <w:lang w:bidi="ar"/>
            </w:rPr>
            <w:t>表1 嫁接苗木分级指标</w:t>
          </w:r>
          <w:bookmarkEnd w:id="70"/>
        </w:p>
        <w:tbl>
          <w:tblPr>
            <w:tblStyle w:val="2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5"/>
            <w:gridCol w:w="3189"/>
            <w:gridCol w:w="3194"/>
          </w:tblGrid>
          <w:tr w14:paraId="7C6D0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1664" w:type="pct"/>
                <w:vMerge w:val="restart"/>
                <w:vAlign w:val="center"/>
              </w:tcPr>
              <w:p w14:paraId="401DAB3B">
                <w:pPr>
                  <w:spacing w:line="240" w:lineRule="auto"/>
                  <w:jc w:val="center"/>
                  <w:rPr>
                    <w:rFonts w:ascii="宋体" w:hAnsi="宋体" w:cs="宋体"/>
                    <w:sz w:val="18"/>
                    <w:szCs w:val="18"/>
                  </w:rPr>
                </w:pPr>
                <w:r>
                  <w:rPr>
                    <w:rFonts w:hint="eastAsia" w:ascii="宋体" w:hAnsi="宋体" w:cs="宋体"/>
                    <w:sz w:val="18"/>
                    <w:szCs w:val="18"/>
                  </w:rPr>
                  <w:t>项目</w:t>
                </w:r>
              </w:p>
            </w:tc>
            <w:tc>
              <w:tcPr>
                <w:tcW w:w="3335" w:type="pct"/>
                <w:gridSpan w:val="2"/>
                <w:vAlign w:val="center"/>
              </w:tcPr>
              <w:p w14:paraId="4D3EC735">
                <w:pPr>
                  <w:spacing w:line="240" w:lineRule="auto"/>
                  <w:jc w:val="center"/>
                  <w:rPr>
                    <w:rFonts w:ascii="宋体" w:hAnsi="宋体" w:cs="宋体"/>
                    <w:sz w:val="18"/>
                    <w:szCs w:val="18"/>
                  </w:rPr>
                </w:pPr>
                <w:r>
                  <w:rPr>
                    <w:rFonts w:hint="eastAsia" w:ascii="宋体" w:hAnsi="宋体" w:cs="宋体"/>
                    <w:sz w:val="18"/>
                    <w:szCs w:val="18"/>
                  </w:rPr>
                  <w:t>等级</w:t>
                </w:r>
              </w:p>
            </w:tc>
          </w:tr>
          <w:tr w14:paraId="1EB76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1664" w:type="pct"/>
                <w:vMerge w:val="continue"/>
                <w:vAlign w:val="center"/>
              </w:tcPr>
              <w:p w14:paraId="7EDBB510">
                <w:pPr>
                  <w:spacing w:line="240" w:lineRule="auto"/>
                  <w:jc w:val="center"/>
                  <w:rPr>
                    <w:rFonts w:ascii="宋体" w:hAnsi="宋体" w:cs="宋体"/>
                    <w:sz w:val="18"/>
                    <w:szCs w:val="18"/>
                  </w:rPr>
                </w:pPr>
              </w:p>
            </w:tc>
            <w:tc>
              <w:tcPr>
                <w:tcW w:w="1666" w:type="pct"/>
                <w:vAlign w:val="center"/>
              </w:tcPr>
              <w:p w14:paraId="4DBE146F">
                <w:pPr>
                  <w:spacing w:line="240" w:lineRule="auto"/>
                  <w:jc w:val="center"/>
                  <w:rPr>
                    <w:rFonts w:ascii="宋体" w:hAnsi="宋体" w:cs="宋体"/>
                    <w:sz w:val="18"/>
                    <w:szCs w:val="18"/>
                  </w:rPr>
                </w:pPr>
                <w:r>
                  <w:rPr>
                    <w:rFonts w:hint="eastAsia" w:ascii="宋体" w:hAnsi="宋体" w:cs="宋体"/>
                    <w:sz w:val="18"/>
                    <w:szCs w:val="18"/>
                  </w:rPr>
                  <w:t>一级</w:t>
                </w:r>
              </w:p>
            </w:tc>
            <w:tc>
              <w:tcPr>
                <w:tcW w:w="1668" w:type="pct"/>
                <w:vAlign w:val="center"/>
              </w:tcPr>
              <w:p w14:paraId="1022B647">
                <w:pPr>
                  <w:spacing w:line="240" w:lineRule="auto"/>
                  <w:jc w:val="center"/>
                  <w:rPr>
                    <w:rFonts w:ascii="宋体" w:hAnsi="宋体" w:cs="宋体"/>
                    <w:sz w:val="18"/>
                    <w:szCs w:val="18"/>
                  </w:rPr>
                </w:pPr>
                <w:r>
                  <w:rPr>
                    <w:rFonts w:hint="eastAsia" w:ascii="宋体" w:hAnsi="宋体" w:cs="宋体"/>
                    <w:sz w:val="18"/>
                    <w:szCs w:val="18"/>
                  </w:rPr>
                  <w:t>二级</w:t>
                </w:r>
              </w:p>
            </w:tc>
          </w:tr>
          <w:tr w14:paraId="44783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664" w:type="pct"/>
                <w:vAlign w:val="center"/>
              </w:tcPr>
              <w:p w14:paraId="7E03D648">
                <w:pPr>
                  <w:spacing w:line="240" w:lineRule="auto"/>
                  <w:jc w:val="center"/>
                  <w:rPr>
                    <w:rFonts w:ascii="宋体" w:hAnsi="宋体" w:cs="宋体"/>
                    <w:sz w:val="18"/>
                    <w:szCs w:val="18"/>
                  </w:rPr>
                </w:pPr>
                <w:r>
                  <w:rPr>
                    <w:rFonts w:hint="eastAsia" w:ascii="宋体" w:hAnsi="宋体" w:cs="宋体"/>
                    <w:sz w:val="18"/>
                    <w:szCs w:val="18"/>
                  </w:rPr>
                  <w:t>种苗高度/cm</w:t>
                </w:r>
              </w:p>
            </w:tc>
            <w:tc>
              <w:tcPr>
                <w:tcW w:w="1666" w:type="pct"/>
                <w:vAlign w:val="center"/>
              </w:tcPr>
              <w:p w14:paraId="744071A7">
                <w:pPr>
                  <w:spacing w:line="240" w:lineRule="auto"/>
                  <w:jc w:val="center"/>
                  <w:rPr>
                    <w:rFonts w:ascii="宋体" w:hAnsi="宋体" w:cs="宋体"/>
                    <w:sz w:val="18"/>
                    <w:szCs w:val="18"/>
                  </w:rPr>
                </w:pPr>
                <w:r>
                  <w:rPr>
                    <w:rFonts w:hint="eastAsia" w:ascii="宋体" w:hAnsi="宋体" w:cs="宋体"/>
                    <w:sz w:val="18"/>
                    <w:szCs w:val="18"/>
                  </w:rPr>
                  <w:t>＞50</w:t>
                </w:r>
              </w:p>
            </w:tc>
            <w:tc>
              <w:tcPr>
                <w:tcW w:w="1668" w:type="pct"/>
                <w:vAlign w:val="center"/>
              </w:tcPr>
              <w:p w14:paraId="67550A47">
                <w:pPr>
                  <w:spacing w:line="240" w:lineRule="auto"/>
                  <w:jc w:val="center"/>
                  <w:rPr>
                    <w:rFonts w:ascii="宋体" w:hAnsi="宋体" w:cs="宋体"/>
                    <w:sz w:val="18"/>
                    <w:szCs w:val="18"/>
                  </w:rPr>
                </w:pPr>
                <w:r>
                  <w:rPr>
                    <w:rFonts w:hint="eastAsia" w:ascii="宋体" w:hAnsi="宋体" w:cs="宋体"/>
                    <w:sz w:val="18"/>
                    <w:szCs w:val="18"/>
                  </w:rPr>
                  <w:t>30</w:t>
                </w:r>
                <w:r>
                  <w:rPr>
                    <w:rFonts w:ascii="宋体" w:hAnsi="宋体" w:cs="宋体"/>
                    <w:kern w:val="0"/>
                    <w:sz w:val="18"/>
                    <w:szCs w:val="18"/>
                    <w:lang w:bidi="ar"/>
                  </w:rPr>
                  <w:t>～</w:t>
                </w:r>
                <w:r>
                  <w:rPr>
                    <w:rFonts w:hint="eastAsia" w:ascii="宋体" w:hAnsi="宋体" w:cs="宋体"/>
                    <w:sz w:val="18"/>
                    <w:szCs w:val="18"/>
                  </w:rPr>
                  <w:t>50</w:t>
                </w:r>
              </w:p>
            </w:tc>
          </w:tr>
          <w:tr w14:paraId="75C88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664" w:type="pct"/>
                <w:vAlign w:val="center"/>
              </w:tcPr>
              <w:p w14:paraId="527BB7D4">
                <w:pPr>
                  <w:spacing w:line="240" w:lineRule="auto"/>
                  <w:jc w:val="center"/>
                  <w:rPr>
                    <w:rFonts w:ascii="宋体" w:hAnsi="宋体" w:cs="宋体"/>
                    <w:sz w:val="18"/>
                    <w:szCs w:val="18"/>
                  </w:rPr>
                </w:pPr>
                <w:r>
                  <w:rPr>
                    <w:rFonts w:hint="eastAsia" w:ascii="宋体" w:hAnsi="宋体" w:cs="宋体"/>
                    <w:sz w:val="18"/>
                    <w:szCs w:val="18"/>
                  </w:rPr>
                  <w:t>砧木茎粗/cm</w:t>
                </w:r>
              </w:p>
            </w:tc>
            <w:tc>
              <w:tcPr>
                <w:tcW w:w="1666" w:type="pct"/>
                <w:vAlign w:val="center"/>
              </w:tcPr>
              <w:p w14:paraId="6F4826E4">
                <w:pPr>
                  <w:spacing w:line="240" w:lineRule="auto"/>
                  <w:jc w:val="center"/>
                  <w:rPr>
                    <w:rFonts w:ascii="宋体" w:hAnsi="宋体" w:cs="宋体"/>
                    <w:sz w:val="18"/>
                    <w:szCs w:val="18"/>
                  </w:rPr>
                </w:pPr>
                <w:r>
                  <w:rPr>
                    <w:rFonts w:hint="eastAsia" w:ascii="宋体" w:hAnsi="宋体" w:cs="宋体"/>
                    <w:sz w:val="18"/>
                    <w:szCs w:val="18"/>
                  </w:rPr>
                  <w:t>＞0.9</w:t>
                </w:r>
              </w:p>
            </w:tc>
            <w:tc>
              <w:tcPr>
                <w:tcW w:w="1668" w:type="pct"/>
                <w:vAlign w:val="center"/>
              </w:tcPr>
              <w:p w14:paraId="3E08E1BA">
                <w:pPr>
                  <w:spacing w:line="240" w:lineRule="auto"/>
                  <w:jc w:val="center"/>
                  <w:rPr>
                    <w:rFonts w:ascii="宋体" w:hAnsi="宋体" w:cs="宋体"/>
                    <w:sz w:val="18"/>
                    <w:szCs w:val="18"/>
                  </w:rPr>
                </w:pPr>
                <w:r>
                  <w:rPr>
                    <w:rFonts w:hint="eastAsia" w:ascii="宋体" w:hAnsi="宋体" w:cs="宋体"/>
                    <w:sz w:val="18"/>
                    <w:szCs w:val="18"/>
                  </w:rPr>
                  <w:t>0.7</w:t>
                </w:r>
                <w:r>
                  <w:rPr>
                    <w:rFonts w:ascii="宋体" w:hAnsi="宋体" w:cs="宋体"/>
                    <w:kern w:val="0"/>
                    <w:sz w:val="18"/>
                    <w:szCs w:val="18"/>
                    <w:lang w:bidi="ar"/>
                  </w:rPr>
                  <w:t>～</w:t>
                </w:r>
                <w:r>
                  <w:rPr>
                    <w:rFonts w:hint="eastAsia" w:ascii="宋体" w:hAnsi="宋体" w:cs="宋体"/>
                    <w:sz w:val="18"/>
                    <w:szCs w:val="18"/>
                  </w:rPr>
                  <w:t>0.9</w:t>
                </w:r>
              </w:p>
            </w:tc>
          </w:tr>
          <w:tr w14:paraId="164DE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664" w:type="pct"/>
                <w:vAlign w:val="center"/>
              </w:tcPr>
              <w:p w14:paraId="28285829">
                <w:pPr>
                  <w:spacing w:line="240" w:lineRule="auto"/>
                  <w:jc w:val="center"/>
                  <w:rPr>
                    <w:rFonts w:ascii="宋体" w:hAnsi="宋体" w:cs="宋体"/>
                    <w:sz w:val="18"/>
                    <w:szCs w:val="18"/>
                  </w:rPr>
                </w:pPr>
                <w:r>
                  <w:rPr>
                    <w:rFonts w:hint="eastAsia" w:ascii="宋体" w:hAnsi="宋体" w:cs="宋体"/>
                    <w:sz w:val="18"/>
                    <w:szCs w:val="18"/>
                  </w:rPr>
                  <w:t>新梢长度/cm</w:t>
                </w:r>
              </w:p>
            </w:tc>
            <w:tc>
              <w:tcPr>
                <w:tcW w:w="1666" w:type="pct"/>
                <w:vAlign w:val="center"/>
              </w:tcPr>
              <w:p w14:paraId="2ECAE9D9">
                <w:pPr>
                  <w:spacing w:line="240" w:lineRule="auto"/>
                  <w:jc w:val="center"/>
                  <w:rPr>
                    <w:rFonts w:ascii="宋体" w:hAnsi="宋体" w:cs="宋体"/>
                    <w:sz w:val="18"/>
                    <w:szCs w:val="18"/>
                  </w:rPr>
                </w:pPr>
                <w:r>
                  <w:rPr>
                    <w:rFonts w:hint="eastAsia" w:ascii="宋体" w:hAnsi="宋体" w:cs="宋体"/>
                    <w:sz w:val="18"/>
                    <w:szCs w:val="18"/>
                  </w:rPr>
                  <w:t>＞40</w:t>
                </w:r>
              </w:p>
            </w:tc>
            <w:tc>
              <w:tcPr>
                <w:tcW w:w="1668" w:type="pct"/>
                <w:vAlign w:val="center"/>
              </w:tcPr>
              <w:p w14:paraId="3979F237">
                <w:pPr>
                  <w:spacing w:line="240" w:lineRule="auto"/>
                  <w:jc w:val="center"/>
                  <w:rPr>
                    <w:rFonts w:ascii="宋体" w:hAnsi="宋体" w:cs="宋体"/>
                    <w:sz w:val="18"/>
                    <w:szCs w:val="18"/>
                  </w:rPr>
                </w:pPr>
                <w:r>
                  <w:rPr>
                    <w:rFonts w:hint="eastAsia" w:ascii="宋体" w:hAnsi="宋体" w:cs="宋体"/>
                    <w:sz w:val="18"/>
                    <w:szCs w:val="18"/>
                  </w:rPr>
                  <w:t>30</w:t>
                </w:r>
                <w:r>
                  <w:rPr>
                    <w:rFonts w:ascii="宋体" w:hAnsi="宋体" w:cs="宋体"/>
                    <w:kern w:val="0"/>
                    <w:sz w:val="18"/>
                    <w:szCs w:val="18"/>
                    <w:lang w:bidi="ar"/>
                  </w:rPr>
                  <w:t>～</w:t>
                </w:r>
                <w:r>
                  <w:rPr>
                    <w:rFonts w:hint="eastAsia" w:ascii="宋体" w:hAnsi="宋体" w:cs="宋体"/>
                    <w:sz w:val="18"/>
                    <w:szCs w:val="18"/>
                  </w:rPr>
                  <w:t>40</w:t>
                </w:r>
              </w:p>
            </w:tc>
          </w:tr>
          <w:tr w14:paraId="73D8C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664" w:type="pct"/>
                <w:vAlign w:val="center"/>
              </w:tcPr>
              <w:p w14:paraId="46950A65">
                <w:pPr>
                  <w:spacing w:line="240" w:lineRule="auto"/>
                  <w:jc w:val="center"/>
                  <w:rPr>
                    <w:rFonts w:ascii="宋体" w:hAnsi="宋体" w:cs="宋体"/>
                    <w:sz w:val="18"/>
                    <w:szCs w:val="18"/>
                  </w:rPr>
                </w:pPr>
                <w:r>
                  <w:rPr>
                    <w:rFonts w:hint="eastAsia" w:ascii="宋体" w:hAnsi="宋体" w:cs="宋体"/>
                    <w:sz w:val="18"/>
                    <w:szCs w:val="18"/>
                  </w:rPr>
                  <w:t>分枝数量/个</w:t>
                </w:r>
              </w:p>
            </w:tc>
            <w:tc>
              <w:tcPr>
                <w:tcW w:w="1666" w:type="pct"/>
                <w:vAlign w:val="center"/>
              </w:tcPr>
              <w:p w14:paraId="5EBCAEB7">
                <w:pPr>
                  <w:spacing w:line="240" w:lineRule="auto"/>
                  <w:jc w:val="center"/>
                  <w:rPr>
                    <w:rFonts w:ascii="宋体" w:hAnsi="宋体" w:cs="宋体"/>
                    <w:sz w:val="18"/>
                    <w:szCs w:val="18"/>
                  </w:rPr>
                </w:pPr>
                <w:r>
                  <w:rPr>
                    <w:rFonts w:hint="eastAsia" w:ascii="宋体" w:hAnsi="宋体" w:cs="宋体"/>
                    <w:sz w:val="18"/>
                    <w:szCs w:val="18"/>
                  </w:rPr>
                  <w:t>＞2</w:t>
                </w:r>
              </w:p>
            </w:tc>
            <w:tc>
              <w:tcPr>
                <w:tcW w:w="1668" w:type="pct"/>
                <w:vAlign w:val="center"/>
              </w:tcPr>
              <w:p w14:paraId="07877D26">
                <w:pPr>
                  <w:spacing w:line="240" w:lineRule="auto"/>
                  <w:jc w:val="center"/>
                  <w:rPr>
                    <w:rFonts w:ascii="宋体" w:hAnsi="宋体" w:cs="宋体"/>
                    <w:sz w:val="18"/>
                    <w:szCs w:val="18"/>
                  </w:rPr>
                </w:pPr>
                <w:r>
                  <w:rPr>
                    <w:rFonts w:hint="eastAsia" w:ascii="宋体" w:hAnsi="宋体" w:cs="宋体"/>
                    <w:sz w:val="18"/>
                    <w:szCs w:val="18"/>
                  </w:rPr>
                  <w:t>1</w:t>
                </w:r>
              </w:p>
            </w:tc>
          </w:tr>
          <w:tr w14:paraId="751F0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664" w:type="pct"/>
                <w:vAlign w:val="center"/>
              </w:tcPr>
              <w:p w14:paraId="5E32400D">
                <w:pPr>
                  <w:spacing w:line="240" w:lineRule="auto"/>
                  <w:jc w:val="center"/>
                  <w:rPr>
                    <w:rFonts w:ascii="宋体" w:hAnsi="宋体" w:cs="宋体"/>
                    <w:sz w:val="18"/>
                    <w:szCs w:val="18"/>
                  </w:rPr>
                </w:pPr>
                <w:r>
                  <w:rPr>
                    <w:rFonts w:hint="eastAsia" w:ascii="宋体" w:hAnsi="宋体" w:cs="宋体"/>
                    <w:sz w:val="18"/>
                    <w:szCs w:val="18"/>
                  </w:rPr>
                  <w:t>嫁接口高度/cm</w:t>
                </w:r>
              </w:p>
            </w:tc>
            <w:tc>
              <w:tcPr>
                <w:tcW w:w="3335" w:type="pct"/>
                <w:gridSpan w:val="2"/>
                <w:vAlign w:val="center"/>
              </w:tcPr>
              <w:p w14:paraId="48D02B6F">
                <w:pPr>
                  <w:spacing w:line="240" w:lineRule="auto"/>
                  <w:jc w:val="center"/>
                  <w:rPr>
                    <w:rFonts w:ascii="宋体" w:hAnsi="宋体" w:cs="宋体"/>
                    <w:sz w:val="18"/>
                    <w:szCs w:val="18"/>
                  </w:rPr>
                </w:pPr>
                <w:r>
                  <w:rPr>
                    <w:rFonts w:hint="eastAsia" w:ascii="宋体" w:hAnsi="宋体" w:cs="宋体"/>
                    <w:sz w:val="18"/>
                    <w:szCs w:val="18"/>
                  </w:rPr>
                  <w:t>20</w:t>
                </w:r>
                <w:r>
                  <w:rPr>
                    <w:rFonts w:ascii="宋体" w:hAnsi="宋体" w:cs="宋体"/>
                    <w:kern w:val="0"/>
                    <w:sz w:val="18"/>
                    <w:szCs w:val="18"/>
                    <w:lang w:bidi="ar"/>
                  </w:rPr>
                  <w:t>～</w:t>
                </w:r>
                <w:r>
                  <w:rPr>
                    <w:rFonts w:hint="eastAsia" w:ascii="宋体" w:hAnsi="宋体" w:cs="宋体"/>
                    <w:sz w:val="18"/>
                    <w:szCs w:val="18"/>
                  </w:rPr>
                  <w:t>30</w:t>
                </w:r>
              </w:p>
            </w:tc>
          </w:tr>
          <w:tr w14:paraId="4C19F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664" w:type="pct"/>
                <w:vAlign w:val="center"/>
              </w:tcPr>
              <w:p w14:paraId="433724E4">
                <w:pPr>
                  <w:spacing w:line="240" w:lineRule="auto"/>
                  <w:jc w:val="center"/>
                  <w:rPr>
                    <w:rFonts w:ascii="宋体" w:hAnsi="宋体" w:cs="宋体"/>
                    <w:sz w:val="18"/>
                    <w:szCs w:val="18"/>
                  </w:rPr>
                </w:pPr>
                <w:r>
                  <w:rPr>
                    <w:rFonts w:hint="eastAsia" w:ascii="宋体" w:hAnsi="宋体" w:cs="宋体"/>
                    <w:sz w:val="18"/>
                    <w:szCs w:val="18"/>
                  </w:rPr>
                  <w:t>主干倾斜/度</w:t>
                </w:r>
              </w:p>
            </w:tc>
            <w:tc>
              <w:tcPr>
                <w:tcW w:w="3335" w:type="pct"/>
                <w:gridSpan w:val="2"/>
                <w:vAlign w:val="center"/>
              </w:tcPr>
              <w:p w14:paraId="358F0E07">
                <w:pPr>
                  <w:spacing w:line="240" w:lineRule="auto"/>
                  <w:jc w:val="center"/>
                  <w:rPr>
                    <w:rFonts w:ascii="宋体" w:hAnsi="宋体" w:cs="宋体"/>
                    <w:sz w:val="18"/>
                    <w:szCs w:val="18"/>
                  </w:rPr>
                </w:pPr>
                <w:r>
                  <w:rPr>
                    <w:rFonts w:hint="eastAsia" w:ascii="宋体" w:hAnsi="宋体" w:cs="宋体"/>
                    <w:sz w:val="18"/>
                    <w:szCs w:val="18"/>
                  </w:rPr>
                  <w:t>≤15</w:t>
                </w:r>
              </w:p>
            </w:tc>
          </w:tr>
        </w:tbl>
        <w:p w14:paraId="1BEB6DAA">
          <w:pPr>
            <w:widowControl/>
            <w:spacing w:before="120" w:beforeLines="50" w:after="120" w:afterLines="50" w:line="240" w:lineRule="auto"/>
            <w:jc w:val="left"/>
            <w:rPr>
              <w:rFonts w:ascii="黑体" w:hAnsi="宋体" w:eastAsia="黑体" w:cs="黑体"/>
              <w:kern w:val="0"/>
              <w:lang w:bidi="ar"/>
            </w:rPr>
          </w:pPr>
          <w:bookmarkStart w:id="71" w:name="_Toc23775"/>
          <w:r>
            <w:rPr>
              <w:rFonts w:hint="eastAsia" w:ascii="黑体" w:hAnsi="宋体" w:eastAsia="黑体" w:cs="黑体"/>
              <w:kern w:val="0"/>
              <w:lang w:bidi="ar"/>
            </w:rPr>
            <w:t>7.2.3</w:t>
          </w:r>
          <w:bookmarkEnd w:id="71"/>
          <w:r>
            <w:rPr>
              <w:rFonts w:hint="eastAsia" w:ascii="黑体" w:hAnsi="宋体" w:eastAsia="黑体" w:cs="黑体"/>
              <w:kern w:val="0"/>
              <w:lang w:eastAsia="zh-CN" w:bidi="ar"/>
            </w:rPr>
            <w:t xml:space="preserve"> </w:t>
          </w:r>
          <w:r>
            <w:rPr>
              <w:rFonts w:hint="eastAsia" w:ascii="黑体" w:hAnsi="宋体" w:eastAsia="黑体" w:cs="黑体"/>
              <w:kern w:val="0"/>
              <w:lang w:bidi="ar"/>
            </w:rPr>
            <w:t>检验方法</w:t>
          </w:r>
        </w:p>
        <w:p w14:paraId="31DAD226">
          <w:pPr>
            <w:pStyle w:val="58"/>
            <w:autoSpaceDE/>
            <w:autoSpaceDN/>
            <w:adjustRightInd w:val="0"/>
            <w:ind w:firstLine="0" w:firstLineChars="0"/>
            <w:jc w:val="left"/>
            <w:rPr>
              <w:lang w:bidi="ar"/>
            </w:rPr>
          </w:pPr>
          <w:bookmarkStart w:id="72" w:name="_Toc10900"/>
          <w:r>
            <w:rPr>
              <w:rFonts w:hint="eastAsia" w:ascii="黑体" w:eastAsia="黑体"/>
            </w:rPr>
            <w:t>7.2.3.1</w:t>
          </w:r>
          <w:r>
            <w:rPr>
              <w:rFonts w:hint="eastAsia" w:eastAsia="黑体"/>
              <w:lang w:eastAsia="zh-CN" w:bidi="ar"/>
            </w:rPr>
            <w:t xml:space="preserve"> </w:t>
          </w:r>
          <w:r>
            <w:rPr>
              <w:rFonts w:hint="eastAsia"/>
              <w:lang w:bidi="ar"/>
            </w:rPr>
            <w:t>种苗高度：测量土面至苗木顶芽的垂直距离，单位cm，精确至</w:t>
          </w:r>
          <w:r>
            <w:rPr>
              <w:rFonts w:hint="eastAsia"/>
              <w:lang w:val="en-US" w:eastAsia="zh-CN" w:bidi="ar"/>
            </w:rPr>
            <w:t xml:space="preserve"> </w:t>
          </w:r>
          <w:r>
            <w:rPr>
              <w:rFonts w:hint="eastAsia"/>
              <w:lang w:bidi="ar"/>
            </w:rPr>
            <w:t>0.1</w:t>
          </w:r>
          <w:r>
            <w:rPr>
              <w:rFonts w:hint="eastAsia" w:ascii="MS Mincho" w:hAnsi="MS Mincho" w:cs="MS Mincho"/>
              <w:sz w:val="22"/>
              <w:szCs w:val="22"/>
              <w:lang w:eastAsia="zh-CN"/>
            </w:rPr>
            <w:t xml:space="preserve"> </w:t>
          </w:r>
          <w:r>
            <w:rPr>
              <w:rFonts w:hint="eastAsia"/>
              <w:lang w:bidi="ar"/>
            </w:rPr>
            <w:t>cm。</w:t>
          </w:r>
        </w:p>
        <w:p w14:paraId="32BCC8E8">
          <w:pPr>
            <w:pStyle w:val="58"/>
            <w:autoSpaceDE/>
            <w:autoSpaceDN/>
            <w:adjustRightInd w:val="0"/>
            <w:ind w:left="210" w:hanging="210" w:hangingChars="100"/>
            <w:jc w:val="left"/>
            <w:rPr>
              <w:lang w:bidi="ar"/>
            </w:rPr>
          </w:pPr>
          <w:r>
            <w:rPr>
              <w:rFonts w:hint="eastAsia" w:ascii="黑体" w:eastAsia="黑体"/>
            </w:rPr>
            <w:t>7.2.3.2</w:t>
          </w:r>
          <w:r>
            <w:rPr>
              <w:rFonts w:hint="eastAsia" w:ascii="黑体" w:eastAsia="黑体"/>
              <w:lang w:eastAsia="zh-CN"/>
            </w:rPr>
            <w:t xml:space="preserve"> </w:t>
          </w:r>
          <w:r>
            <w:rPr>
              <w:rFonts w:hint="eastAsia"/>
              <w:lang w:bidi="ar"/>
            </w:rPr>
            <w:t>砧木茎粗：用游标卡尺测量嫁接口下方</w:t>
          </w:r>
          <w:r>
            <w:rPr>
              <w:rFonts w:hint="eastAsia" w:ascii="MS Mincho" w:hAnsi="MS Mincho" w:cs="MS Mincho"/>
              <w:sz w:val="22"/>
              <w:szCs w:val="22"/>
              <w:lang w:eastAsia="zh-CN"/>
            </w:rPr>
            <w:t xml:space="preserve"> </w:t>
          </w:r>
          <w:r>
            <w:rPr>
              <w:rFonts w:hint="eastAsia"/>
              <w:lang w:bidi="ar"/>
            </w:rPr>
            <w:t>2</w:t>
          </w:r>
          <w:r>
            <w:rPr>
              <w:rFonts w:hint="eastAsia" w:ascii="MS Mincho" w:hAnsi="MS Mincho" w:cs="MS Mincho"/>
              <w:sz w:val="22"/>
              <w:szCs w:val="22"/>
              <w:lang w:eastAsia="zh-CN"/>
            </w:rPr>
            <w:t xml:space="preserve"> </w:t>
          </w:r>
          <w:r>
            <w:rPr>
              <w:rFonts w:hint="eastAsia"/>
              <w:lang w:bidi="ar"/>
            </w:rPr>
            <w:t>cm处的主干直径最大值，单位mm，精确至</w:t>
          </w:r>
          <w:r>
            <w:rPr>
              <w:rFonts w:hint="eastAsia"/>
              <w:lang w:val="en-US" w:eastAsia="zh-CN" w:bidi="ar"/>
            </w:rPr>
            <w:t xml:space="preserve"> </w:t>
          </w:r>
          <w:r>
            <w:rPr>
              <w:rFonts w:hint="eastAsia"/>
              <w:lang w:bidi="ar"/>
            </w:rPr>
            <w:t>0.1</w:t>
          </w:r>
          <w:r>
            <w:rPr>
              <w:rFonts w:hint="eastAsia"/>
              <w:lang w:val="en-US" w:eastAsia="zh-CN" w:bidi="ar"/>
            </w:rPr>
            <w:t xml:space="preserve"> </w:t>
          </w:r>
          <w:r>
            <w:rPr>
              <w:rFonts w:hint="eastAsia"/>
              <w:lang w:bidi="ar"/>
            </w:rPr>
            <w:t>mm。</w:t>
          </w:r>
        </w:p>
        <w:p w14:paraId="0F74429A">
          <w:pPr>
            <w:pStyle w:val="58"/>
            <w:autoSpaceDE/>
            <w:autoSpaceDN/>
            <w:adjustRightInd w:val="0"/>
            <w:ind w:firstLine="0" w:firstLineChars="0"/>
            <w:jc w:val="left"/>
            <w:rPr>
              <w:lang w:bidi="ar"/>
            </w:rPr>
          </w:pPr>
          <w:r>
            <w:rPr>
              <w:rFonts w:hint="eastAsia" w:ascii="黑体" w:eastAsia="黑体"/>
            </w:rPr>
            <w:t>7.2.3.3</w:t>
          </w:r>
          <w:r>
            <w:rPr>
              <w:rFonts w:hint="eastAsia" w:eastAsia="黑体"/>
              <w:lang w:eastAsia="zh-CN" w:bidi="ar"/>
            </w:rPr>
            <w:t xml:space="preserve"> </w:t>
          </w:r>
          <w:r>
            <w:rPr>
              <w:rFonts w:hint="eastAsia"/>
              <w:lang w:bidi="ar"/>
            </w:rPr>
            <w:t>新梢长度：测量最长新梢从基部到顶芽的距离，单位cm，精确至</w:t>
          </w:r>
          <w:r>
            <w:rPr>
              <w:rFonts w:hint="eastAsia"/>
              <w:lang w:val="en-US" w:eastAsia="zh-CN" w:bidi="ar"/>
            </w:rPr>
            <w:t xml:space="preserve"> </w:t>
          </w:r>
          <w:r>
            <w:rPr>
              <w:rFonts w:hint="eastAsia"/>
              <w:lang w:bidi="ar"/>
            </w:rPr>
            <w:t>0.1</w:t>
          </w:r>
          <w:r>
            <w:rPr>
              <w:rFonts w:hint="eastAsia" w:ascii="MS Mincho" w:hAnsi="MS Mincho" w:cs="MS Mincho"/>
              <w:sz w:val="22"/>
              <w:szCs w:val="22"/>
              <w:lang w:eastAsia="zh-CN"/>
            </w:rPr>
            <w:t xml:space="preserve"> </w:t>
          </w:r>
          <w:r>
            <w:rPr>
              <w:rFonts w:hint="eastAsia"/>
              <w:lang w:bidi="ar"/>
            </w:rPr>
            <w:t>cm。</w:t>
          </w:r>
        </w:p>
        <w:p w14:paraId="7A2BCB02">
          <w:pPr>
            <w:pStyle w:val="58"/>
            <w:autoSpaceDE/>
            <w:autoSpaceDN/>
            <w:adjustRightInd w:val="0"/>
            <w:ind w:firstLine="0" w:firstLineChars="0"/>
            <w:jc w:val="left"/>
            <w:rPr>
              <w:lang w:bidi="ar"/>
            </w:rPr>
          </w:pPr>
          <w:r>
            <w:rPr>
              <w:rFonts w:hint="eastAsia" w:ascii="黑体" w:eastAsia="黑体"/>
            </w:rPr>
            <w:t>7.2.3.4</w:t>
          </w:r>
          <w:r>
            <w:rPr>
              <w:rFonts w:hint="eastAsia" w:ascii="黑体" w:eastAsia="黑体"/>
              <w:lang w:eastAsia="zh-CN"/>
            </w:rPr>
            <w:t xml:space="preserve"> </w:t>
          </w:r>
          <w:r>
            <w:rPr>
              <w:rFonts w:hint="eastAsia"/>
              <w:lang w:bidi="ar"/>
            </w:rPr>
            <w:t>分枝数量：以嫁接口上方</w:t>
          </w:r>
          <w:r>
            <w:rPr>
              <w:rFonts w:hint="eastAsia" w:ascii="MS Mincho" w:hAnsi="MS Mincho" w:cs="MS Mincho"/>
              <w:sz w:val="22"/>
              <w:szCs w:val="22"/>
              <w:lang w:eastAsia="zh-CN"/>
            </w:rPr>
            <w:t xml:space="preserve"> </w:t>
          </w:r>
          <w:r>
            <w:rPr>
              <w:rFonts w:hint="eastAsia"/>
              <w:lang w:bidi="ar"/>
            </w:rPr>
            <w:t>20</w:t>
          </w:r>
          <w:r>
            <w:rPr>
              <w:rFonts w:hint="eastAsia"/>
              <w:lang w:val="en-US" w:eastAsia="zh-CN" w:bidi="ar"/>
            </w:rPr>
            <w:t xml:space="preserve"> </w:t>
          </w:r>
          <w:r>
            <w:rPr>
              <w:rFonts w:hint="eastAsia"/>
              <w:lang w:bidi="ar"/>
            </w:rPr>
            <w:t>cm以上主干抽生的、长度在</w:t>
          </w:r>
          <w:r>
            <w:rPr>
              <w:rFonts w:hint="eastAsia" w:ascii="MS Mincho" w:hAnsi="MS Mincho" w:cs="MS Mincho"/>
              <w:sz w:val="22"/>
              <w:szCs w:val="22"/>
              <w:lang w:eastAsia="zh-CN"/>
            </w:rPr>
            <w:t xml:space="preserve"> </w:t>
          </w:r>
          <w:r>
            <w:rPr>
              <w:rFonts w:hint="eastAsia"/>
              <w:lang w:bidi="ar"/>
            </w:rPr>
            <w:t>10</w:t>
          </w:r>
          <w:r>
            <w:rPr>
              <w:rFonts w:hint="eastAsia"/>
              <w:lang w:val="en-US" w:eastAsia="zh-CN" w:bidi="ar"/>
            </w:rPr>
            <w:t xml:space="preserve"> </w:t>
          </w:r>
          <w:r>
            <w:rPr>
              <w:rFonts w:hint="eastAsia"/>
              <w:lang w:bidi="ar"/>
            </w:rPr>
            <w:t>cm以上的一级分枝数目。</w:t>
          </w:r>
        </w:p>
        <w:p w14:paraId="7D180D59">
          <w:pPr>
            <w:pStyle w:val="58"/>
            <w:autoSpaceDE/>
            <w:autoSpaceDN/>
            <w:adjustRightInd w:val="0"/>
            <w:ind w:firstLine="0" w:firstLineChars="0"/>
            <w:jc w:val="left"/>
            <w:rPr>
              <w:lang w:bidi="ar"/>
            </w:rPr>
          </w:pPr>
          <w:r>
            <w:rPr>
              <w:rFonts w:hint="eastAsia" w:ascii="黑体" w:eastAsia="黑体"/>
            </w:rPr>
            <w:t>7.2.3.5</w:t>
          </w:r>
          <w:r>
            <w:rPr>
              <w:rFonts w:hint="eastAsia" w:ascii="黑体" w:eastAsia="黑体"/>
              <w:lang w:eastAsia="zh-CN"/>
            </w:rPr>
            <w:t xml:space="preserve"> </w:t>
          </w:r>
          <w:r>
            <w:rPr>
              <w:rFonts w:hint="eastAsia"/>
              <w:lang w:bidi="ar"/>
            </w:rPr>
            <w:t>嫁接口高度：测量土面至嫁接口中间位置的距离，单位cm，精确至</w:t>
          </w:r>
          <w:r>
            <w:rPr>
              <w:rFonts w:hint="eastAsia"/>
              <w:lang w:val="en-US" w:eastAsia="zh-CN" w:bidi="ar"/>
            </w:rPr>
            <w:t xml:space="preserve"> </w:t>
          </w:r>
          <w:r>
            <w:rPr>
              <w:rFonts w:hint="eastAsia"/>
              <w:lang w:bidi="ar"/>
            </w:rPr>
            <w:t>0.1</w:t>
          </w:r>
          <w:r>
            <w:rPr>
              <w:rFonts w:hint="eastAsia"/>
              <w:lang w:val="en-US" w:eastAsia="zh-CN" w:bidi="ar"/>
            </w:rPr>
            <w:t xml:space="preserve"> </w:t>
          </w:r>
          <w:r>
            <w:rPr>
              <w:rFonts w:hint="eastAsia"/>
              <w:lang w:bidi="ar"/>
            </w:rPr>
            <w:t>cm。</w:t>
          </w:r>
        </w:p>
        <w:p w14:paraId="1EC518D4">
          <w:pPr>
            <w:pStyle w:val="58"/>
            <w:autoSpaceDE/>
            <w:autoSpaceDN/>
            <w:adjustRightInd w:val="0"/>
            <w:ind w:firstLine="0" w:firstLineChars="0"/>
            <w:jc w:val="left"/>
            <w:rPr>
              <w:lang w:bidi="ar"/>
            </w:rPr>
          </w:pPr>
          <w:r>
            <w:rPr>
              <w:rFonts w:hint="eastAsia" w:ascii="黑体" w:eastAsia="黑体"/>
            </w:rPr>
            <w:t>7.2.3.6</w:t>
          </w:r>
          <w:r>
            <w:rPr>
              <w:rFonts w:hint="eastAsia" w:ascii="黑体" w:eastAsia="黑体"/>
              <w:lang w:eastAsia="zh-CN"/>
            </w:rPr>
            <w:t xml:space="preserve"> </w:t>
          </w:r>
          <w:r>
            <w:rPr>
              <w:rFonts w:hint="eastAsia"/>
              <w:lang w:bidi="ar"/>
            </w:rPr>
            <w:t>主干倾斜：用量角器测量主干中轴线与土面垂直线之间的夹角。</w:t>
          </w:r>
        </w:p>
        <w:bookmarkEnd w:id="72"/>
        <w:p w14:paraId="0A563C7C">
          <w:pPr>
            <w:widowControl/>
            <w:spacing w:before="120" w:beforeLines="50" w:after="120" w:afterLines="50" w:line="240" w:lineRule="auto"/>
            <w:jc w:val="left"/>
            <w:rPr>
              <w:rFonts w:ascii="黑体" w:hAnsi="宋体" w:eastAsia="黑体" w:cs="黑体"/>
              <w:kern w:val="0"/>
              <w:lang w:bidi="ar"/>
            </w:rPr>
          </w:pPr>
          <w:r>
            <w:rPr>
              <w:rFonts w:hint="eastAsia" w:ascii="黑体" w:hAnsi="宋体" w:eastAsia="黑体" w:cs="黑体"/>
              <w:kern w:val="0"/>
              <w:lang w:bidi="ar"/>
            </w:rPr>
            <w:t>7.2.4</w:t>
          </w:r>
          <w:r>
            <w:rPr>
              <w:rFonts w:hint="eastAsia" w:ascii="黑体" w:hAnsi="宋体" w:eastAsia="黑体" w:cs="黑体"/>
              <w:kern w:val="0"/>
              <w:lang w:eastAsia="zh-CN" w:bidi="ar"/>
            </w:rPr>
            <w:t xml:space="preserve"> </w:t>
          </w:r>
          <w:r>
            <w:rPr>
              <w:rFonts w:hint="eastAsia" w:ascii="黑体" w:hAnsi="宋体" w:eastAsia="黑体" w:cs="黑体"/>
              <w:kern w:val="0"/>
              <w:lang w:bidi="ar"/>
            </w:rPr>
            <w:t>检验规则</w:t>
          </w:r>
        </w:p>
        <w:p w14:paraId="295B0EC1">
          <w:pPr>
            <w:pStyle w:val="58"/>
            <w:autoSpaceDE/>
            <w:autoSpaceDN/>
            <w:adjustRightInd w:val="0"/>
            <w:ind w:firstLine="0" w:firstLineChars="0"/>
            <w:jc w:val="left"/>
            <w:rPr>
              <w:color w:val="000000" w:themeColor="text1"/>
              <w:highlight w:val="none"/>
              <w:lang w:bidi="ar"/>
              <w14:textFill>
                <w14:solidFill>
                  <w14:schemeClr w14:val="tx1"/>
                </w14:solidFill>
              </w14:textFill>
            </w:rPr>
          </w:pPr>
          <w:r>
            <w:rPr>
              <w:rFonts w:hint="eastAsia" w:ascii="黑体" w:eastAsia="黑体"/>
              <w:color w:val="000000" w:themeColor="text1"/>
              <w:highlight w:val="none"/>
              <w14:textFill>
                <w14:solidFill>
                  <w14:schemeClr w14:val="tx1"/>
                </w14:solidFill>
              </w14:textFill>
            </w:rPr>
            <w:t>7.2.4.1</w:t>
          </w:r>
          <w:r>
            <w:rPr>
              <w:rFonts w:hint="eastAsia" w:eastAsia="黑体"/>
              <w:color w:val="000000" w:themeColor="text1"/>
              <w:highlight w:val="none"/>
              <w:lang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苗木包装集合后采用随机抽样法，田间苗木采用对角交叉法、十字交叉法等抽样，抽取具有代表性的苗木进行检验。</w:t>
          </w:r>
        </w:p>
        <w:p w14:paraId="2551D450">
          <w:pPr>
            <w:pStyle w:val="58"/>
            <w:autoSpaceDE/>
            <w:autoSpaceDN/>
            <w:adjustRightInd w:val="0"/>
            <w:ind w:firstLine="0" w:firstLineChars="0"/>
            <w:jc w:val="left"/>
            <w:rPr>
              <w:color w:val="000000" w:themeColor="text1"/>
              <w:highlight w:val="none"/>
              <w:lang w:bidi="ar"/>
              <w14:textFill>
                <w14:solidFill>
                  <w14:schemeClr w14:val="tx1"/>
                </w14:solidFill>
              </w14:textFill>
            </w:rPr>
          </w:pPr>
          <w:r>
            <w:rPr>
              <w:rFonts w:hint="eastAsia" w:ascii="黑体" w:eastAsia="黑体"/>
              <w:color w:val="000000" w:themeColor="text1"/>
              <w:highlight w:val="none"/>
              <w14:textFill>
                <w14:solidFill>
                  <w14:schemeClr w14:val="tx1"/>
                </w14:solidFill>
              </w14:textFill>
            </w:rPr>
            <w:t>7.2.4.2</w:t>
          </w:r>
          <w:r>
            <w:rPr>
              <w:rFonts w:hint="eastAsia" w:ascii="黑体" w:eastAsia="黑体"/>
              <w:color w:val="000000" w:themeColor="text1"/>
              <w:highlight w:val="none"/>
              <w:lang w:eastAsia="zh-CN"/>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对于</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10 000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株以下（含</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10 000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株）的批次，抽样</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50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株；检验批数量超过</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10 000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株时，在</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10 000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株抽样</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50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株的基础上，对超过</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10 000</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株的部分按照</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0.2%抽样。</w:t>
          </w:r>
        </w:p>
        <w:p w14:paraId="4F4ABE81">
          <w:pPr>
            <w:pStyle w:val="58"/>
            <w:autoSpaceDE/>
            <w:autoSpaceDN/>
            <w:adjustRightInd w:val="0"/>
            <w:ind w:firstLine="0" w:firstLineChars="0"/>
            <w:jc w:val="left"/>
            <w:rPr>
              <w:color w:val="000000" w:themeColor="text1"/>
              <w:highlight w:val="none"/>
              <w:lang w:bidi="ar"/>
              <w14:textFill>
                <w14:solidFill>
                  <w14:schemeClr w14:val="tx1"/>
                </w14:solidFill>
              </w14:textFill>
            </w:rPr>
          </w:pPr>
          <w:r>
            <w:rPr>
              <w:rFonts w:hint="eastAsia" w:ascii="黑体" w:eastAsia="黑体"/>
              <w:color w:val="000000" w:themeColor="text1"/>
              <w:highlight w:val="none"/>
              <w14:textFill>
                <w14:solidFill>
                  <w14:schemeClr w14:val="tx1"/>
                </w14:solidFill>
              </w14:textFill>
            </w:rPr>
            <w:t>7.2.4.3</w:t>
          </w:r>
          <w:r>
            <w:rPr>
              <w:rFonts w:hint="eastAsia" w:eastAsia="黑体"/>
              <w:color w:val="000000" w:themeColor="text1"/>
              <w:highlight w:val="none"/>
              <w:lang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不符合</w:t>
          </w:r>
          <w:r>
            <w:rPr>
              <w:rFonts w:hint="eastAsia"/>
              <w:color w:val="000000" w:themeColor="text1"/>
              <w:highlight w:val="none"/>
              <w:lang w:val="en-US" w:eastAsia="zh-CN" w:bidi="ar"/>
              <w14:textFill>
                <w14:solidFill>
                  <w14:schemeClr w14:val="tx1"/>
                </w14:solidFill>
              </w14:textFill>
            </w:rPr>
            <w:t xml:space="preserve"> 7</w:t>
          </w:r>
          <w:r>
            <w:rPr>
              <w:rFonts w:hint="eastAsia"/>
              <w:color w:val="000000" w:themeColor="text1"/>
              <w:highlight w:val="none"/>
              <w:lang w:bidi="ar"/>
              <w14:textFill>
                <w14:solidFill>
                  <w14:schemeClr w14:val="tx1"/>
                </w14:solidFill>
              </w14:textFill>
            </w:rPr>
            <w:t>.2.1</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基本要求的苗木判定为不合格，对符合基本要求的苗木进行等级判定；同批次种苗中，允许有</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5%的种苗低于一级苗标准，但应达到二级苗标准，则判定为一级苗木；同批次种苗中，允许有</w:t>
          </w:r>
          <w:r>
            <w:rPr>
              <w:rFonts w:hint="eastAsia"/>
              <w:color w:val="000000" w:themeColor="text1"/>
              <w:highlight w:val="none"/>
              <w:lang w:val="en-US" w:eastAsia="zh-CN" w:bidi="ar"/>
              <w14:textFill>
                <w14:solidFill>
                  <w14:schemeClr w14:val="tx1"/>
                </w14:solidFill>
              </w14:textFill>
            </w:rPr>
            <w:t xml:space="preserve"> </w:t>
          </w:r>
          <w:r>
            <w:rPr>
              <w:rFonts w:hint="eastAsia"/>
              <w:color w:val="000000" w:themeColor="text1"/>
              <w:highlight w:val="none"/>
              <w:lang w:bidi="ar"/>
              <w14:textFill>
                <w14:solidFill>
                  <w14:schemeClr w14:val="tx1"/>
                </w14:solidFill>
              </w14:textFill>
            </w:rPr>
            <w:t>5%的种苗低于二级苗标准，则判定为二级苗木；超出此范围则判定为不合格。</w:t>
          </w:r>
        </w:p>
        <w:p w14:paraId="017B329C">
          <w:pPr>
            <w:pStyle w:val="58"/>
            <w:autoSpaceDE/>
            <w:autoSpaceDN/>
            <w:adjustRightInd w:val="0"/>
            <w:ind w:firstLine="0" w:firstLineChars="0"/>
            <w:jc w:val="left"/>
            <w:rPr>
              <w:rFonts w:ascii="黑体" w:eastAsia="黑体"/>
              <w:color w:val="000000" w:themeColor="text1"/>
              <w:highlight w:val="none"/>
              <w14:textFill>
                <w14:solidFill>
                  <w14:schemeClr w14:val="tx1"/>
                </w14:solidFill>
              </w14:textFill>
            </w:rPr>
          </w:pPr>
          <w:r>
            <w:rPr>
              <w:rFonts w:hint="eastAsia" w:ascii="黑体" w:eastAsia="黑体"/>
              <w:color w:val="000000" w:themeColor="text1"/>
              <w:highlight w:val="none"/>
              <w14:textFill>
                <w14:solidFill>
                  <w14:schemeClr w14:val="tx1"/>
                </w14:solidFill>
              </w14:textFill>
            </w:rPr>
            <w:t>7.2.4.4 出圃</w:t>
          </w:r>
        </w:p>
        <w:p w14:paraId="6E5132AE">
          <w:pPr>
            <w:pStyle w:val="58"/>
            <w:autoSpaceDE/>
            <w:autoSpaceDN/>
            <w:adjustRightInd w:val="0"/>
            <w:ind w:firstLine="420"/>
            <w:jc w:val="left"/>
            <w:rPr>
              <w:rFonts w:hAnsi="宋体" w:cs="宋体"/>
              <w:color w:val="000000" w:themeColor="text1"/>
              <w:sz w:val="18"/>
              <w:szCs w:val="18"/>
              <w:highlight w:val="none"/>
              <w:lang w:bidi="ar"/>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嫁接后</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8</w:t>
          </w:r>
          <w:r>
            <w:rPr>
              <w:rFonts w:hint="eastAsia" w:hAnsi="宋体" w:cs="宋体"/>
              <w:color w:val="000000" w:themeColor="text1"/>
              <w:szCs w:val="21"/>
              <w:highlight w:val="none"/>
              <w:lang w:val="en-US"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个月左右，接口上部</w:t>
          </w:r>
          <w:r>
            <w:rPr>
              <w:rFonts w:hint="eastAsia" w:hAnsi="宋体" w:cs="宋体"/>
              <w:color w:val="000000" w:themeColor="text1"/>
              <w:szCs w:val="21"/>
              <w:highlight w:val="none"/>
              <w:lang w:val="en-US"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3</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cm</w:t>
          </w:r>
          <w:r>
            <w:rPr>
              <w:rFonts w:hAnsi="宋体" w:cs="宋体"/>
              <w:color w:val="000000" w:themeColor="text1"/>
              <w:szCs w:val="21"/>
              <w:highlight w:val="none"/>
              <w:lang w:bidi="ar"/>
              <w14:textFill>
                <w14:solidFill>
                  <w14:schemeClr w14:val="tx1"/>
                </w14:solidFill>
              </w14:textFill>
            </w:rPr>
            <w:t>～</w:t>
          </w:r>
          <w:r>
            <w:rPr>
              <w:rFonts w:hint="eastAsia" w:hAnsi="宋体" w:cs="宋体"/>
              <w:color w:val="000000" w:themeColor="text1"/>
              <w:szCs w:val="21"/>
              <w:highlight w:val="none"/>
              <w:lang w:bidi="ar"/>
              <w14:textFill>
                <w14:solidFill>
                  <w14:schemeClr w14:val="tx1"/>
                </w14:solidFill>
              </w14:textFill>
            </w:rPr>
            <w:t>4</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lang w:bidi="ar"/>
              <w14:textFill>
                <w14:solidFill>
                  <w14:schemeClr w14:val="tx1"/>
                </w14:solidFill>
              </w14:textFill>
            </w:rPr>
            <w:t>cm处直径</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0.7</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lang w:bidi="ar"/>
              <w14:textFill>
                <w14:solidFill>
                  <w14:schemeClr w14:val="tx1"/>
                </w14:solidFill>
              </w14:textFill>
            </w:rPr>
            <w:t>cm</w:t>
          </w:r>
          <w:r>
            <w:rPr>
              <w:rFonts w:hAnsi="宋体" w:cs="宋体"/>
              <w:color w:val="000000" w:themeColor="text1"/>
              <w:szCs w:val="21"/>
              <w:highlight w:val="none"/>
              <w:lang w:bidi="ar"/>
              <w14:textFill>
                <w14:solidFill>
                  <w14:schemeClr w14:val="tx1"/>
                </w14:solidFill>
              </w14:textFill>
            </w:rPr>
            <w:t>～</w:t>
          </w:r>
          <w:r>
            <w:rPr>
              <w:rFonts w:hint="eastAsia" w:hAnsi="宋体" w:cs="宋体"/>
              <w:color w:val="000000" w:themeColor="text1"/>
              <w:szCs w:val="21"/>
              <w:highlight w:val="none"/>
              <w:lang w:bidi="ar"/>
              <w14:textFill>
                <w14:solidFill>
                  <w14:schemeClr w14:val="tx1"/>
                </w14:solidFill>
              </w14:textFill>
            </w:rPr>
            <w:t>1.3</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lang w:bidi="ar"/>
              <w14:textFill>
                <w14:solidFill>
                  <w14:schemeClr w14:val="tx1"/>
                </w14:solidFill>
              </w14:textFill>
            </w:rPr>
            <w:t>cm即达到商品苗出圃规格，出圃苗木应符合</w:t>
          </w:r>
          <w:r>
            <w:rPr>
              <w:rFonts w:hint="eastAsia" w:hAnsi="宋体" w:cs="宋体"/>
              <w:color w:val="000000" w:themeColor="text1"/>
              <w:szCs w:val="21"/>
              <w:highlight w:val="none"/>
              <w:lang w:val="en-US" w:eastAsia="zh-CN" w:bidi="ar"/>
              <w14:textFill>
                <w14:solidFill>
                  <w14:schemeClr w14:val="tx1"/>
                </w14:solidFill>
              </w14:textFill>
            </w:rPr>
            <w:t>NY</w:t>
          </w:r>
          <w:r>
            <w:rPr>
              <w:rFonts w:hint="eastAsia" w:hAnsi="宋体" w:cs="宋体"/>
              <w:color w:val="000000" w:themeColor="text1"/>
              <w:szCs w:val="21"/>
              <w:highlight w:val="none"/>
              <w:lang w:bidi="ar"/>
              <w14:textFill>
                <w14:solidFill>
                  <w14:schemeClr w14:val="tx1"/>
                </w14:solidFill>
              </w14:textFill>
            </w:rPr>
            <w:t>/T 1473</w:t>
          </w:r>
          <w:r>
            <w:rPr>
              <w:rFonts w:hint="eastAsia" w:hAnsi="宋体" w:cs="宋体"/>
              <w:color w:val="000000" w:themeColor="text1"/>
              <w:szCs w:val="21"/>
              <w:highlight w:val="none"/>
              <w:lang w:val="en-US" w:eastAsia="zh-CN" w:bidi="ar"/>
              <w14:textFill>
                <w14:solidFill>
                  <w14:schemeClr w14:val="tx1"/>
                </w14:solidFill>
              </w14:textFill>
            </w:rPr>
            <w:t xml:space="preserve"> </w:t>
          </w:r>
          <w:r>
            <w:rPr>
              <w:rFonts w:hint="eastAsia" w:hAnsi="宋体" w:cs="宋体"/>
              <w:color w:val="000000" w:themeColor="text1"/>
              <w:szCs w:val="21"/>
              <w:highlight w:val="none"/>
              <w:lang w:bidi="ar"/>
              <w14:textFill>
                <w14:solidFill>
                  <w14:schemeClr w14:val="tx1"/>
                </w14:solidFill>
              </w14:textFill>
            </w:rPr>
            <w:t>的要求。嫁接口上下部分发育正常、表皮光滑；砧穗亲和，没有接合部肿大、皮粗糙等现象，砧木无枝芽抽生。</w:t>
          </w:r>
        </w:p>
        <w:p w14:paraId="3C123D44">
          <w:pPr>
            <w:pStyle w:val="58"/>
            <w:autoSpaceDE/>
            <w:autoSpaceDN/>
            <w:adjustRightInd w:val="0"/>
            <w:ind w:firstLine="0" w:firstLineChars="0"/>
            <w:jc w:val="left"/>
            <w:rPr>
              <w:rFonts w:ascii="黑体" w:eastAsia="黑体"/>
              <w:color w:val="000000" w:themeColor="text1"/>
              <w:highlight w:val="none"/>
              <w14:textFill>
                <w14:solidFill>
                  <w14:schemeClr w14:val="tx1"/>
                </w14:solidFill>
              </w14:textFill>
            </w:rPr>
          </w:pPr>
          <w:r>
            <w:rPr>
              <w:rFonts w:hint="eastAsia" w:ascii="黑体" w:eastAsia="黑体"/>
              <w:color w:val="000000" w:themeColor="text1"/>
              <w:highlight w:val="none"/>
              <w14:textFill>
                <w14:solidFill>
                  <w14:schemeClr w14:val="tx1"/>
                </w14:solidFill>
              </w14:textFill>
            </w:rPr>
            <w:t>7.2.4.5 炼苗</w:t>
          </w:r>
        </w:p>
        <w:p w14:paraId="22C5290E">
          <w:pPr>
            <w:pStyle w:val="58"/>
            <w:autoSpaceDE/>
            <w:autoSpaceDN/>
            <w:adjustRightInd w:val="0"/>
            <w:ind w:firstLine="420"/>
            <w:jc w:val="left"/>
            <w:rPr>
              <w:rFonts w:hAnsi="宋体" w:cs="宋体"/>
              <w:color w:val="000000" w:themeColor="text1"/>
              <w:szCs w:val="21"/>
              <w:highlight w:val="none"/>
              <w14:textFill>
                <w14:solidFill>
                  <w14:schemeClr w14:val="tx1"/>
                </w14:solidFill>
              </w14:textFill>
            </w:rPr>
          </w:pPr>
          <w:r>
            <w:rPr>
              <w:rFonts w:hint="eastAsia" w:hAnsi="宋体" w:cs="宋体"/>
              <w:color w:val="000000" w:themeColor="text1"/>
              <w:szCs w:val="21"/>
              <w:highlight w:val="none"/>
              <w14:textFill>
                <w14:solidFill>
                  <w14:schemeClr w14:val="tx1"/>
                </w14:solidFill>
              </w14:textFill>
            </w:rPr>
            <w:t>营养袋外部根需进行断根处理，搬移出育苗圃，挂</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50</w:t>
          </w:r>
          <w:r>
            <w:rPr>
              <w:rFonts w:hint="eastAsia" w:ascii="MS Mincho" w:hAnsi="MS Mincho" w:eastAsia="MS Mincho" w:cs="MS Mincho"/>
              <w:color w:val="000000" w:themeColor="text1"/>
              <w:sz w:val="22"/>
              <w:szCs w:val="22"/>
              <w:highlight w:val="none"/>
              <w14:textFill>
                <w14:solidFill>
                  <w14:schemeClr w14:val="tx1"/>
                </w14:solidFill>
              </w14:textFill>
            </w:rPr>
            <w:t> </w:t>
          </w:r>
          <w:r>
            <w:rPr>
              <w:rFonts w:hint="eastAsia" w:hAnsi="宋体" w:cs="宋体"/>
              <w:color w:val="000000" w:themeColor="text1"/>
              <w:szCs w:val="21"/>
              <w:highlight w:val="none"/>
              <w14:textFill>
                <w14:solidFill>
                  <w14:schemeClr w14:val="tx1"/>
                </w14:solidFill>
              </w14:textFill>
            </w:rPr>
            <w:t>%遮阳率的遮阳网炼苗，连续</w:t>
          </w:r>
          <w:r>
            <w:rPr>
              <w:rFonts w:hint="eastAsia" w:hAnsi="宋体" w:cs="宋体"/>
              <w:color w:val="000000" w:themeColor="text1"/>
              <w:szCs w:val="21"/>
              <w:highlight w:val="none"/>
              <w:lang w:val="en-US"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7</w:t>
          </w:r>
          <w:r>
            <w:rPr>
              <w:rFonts w:hint="eastAsia" w:ascii="MS Mincho" w:hAnsi="MS Mincho" w:cs="MS Mincho"/>
              <w:color w:val="000000" w:themeColor="text1"/>
              <w:sz w:val="22"/>
              <w:szCs w:val="22"/>
              <w:highlight w:val="none"/>
              <w:lang w:eastAsia="zh-CN"/>
              <w14:textFill>
                <w14:solidFill>
                  <w14:schemeClr w14:val="tx1"/>
                </w14:solidFill>
              </w14:textFill>
            </w:rPr>
            <w:t xml:space="preserve"> d</w:t>
          </w:r>
          <w:r>
            <w:rPr>
              <w:rFonts w:hint="eastAsia" w:hAnsi="宋体" w:cs="宋体"/>
              <w:color w:val="000000" w:themeColor="text1"/>
              <w:szCs w:val="21"/>
              <w:highlight w:val="none"/>
              <w14:textFill>
                <w14:solidFill>
                  <w14:schemeClr w14:val="tx1"/>
                </w14:solidFill>
              </w14:textFill>
            </w:rPr>
            <w:t>浇透水后根据基质情况适当减少浇水次数，炼苗</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7</w:t>
          </w:r>
          <w:r>
            <w:rPr>
              <w:rFonts w:hint="eastAsia" w:hAnsi="宋体" w:cs="宋体"/>
              <w:color w:val="000000" w:themeColor="text1"/>
              <w:szCs w:val="21"/>
              <w:highlight w:val="none"/>
              <w:lang w:val="en-US"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d后全部光照。炼苗期间停止施肥，出圃前</w:t>
          </w:r>
          <w:r>
            <w:rPr>
              <w:rFonts w:hint="eastAsia" w:ascii="MS Mincho" w:hAnsi="MS Mincho" w:cs="MS Mincho"/>
              <w:color w:val="000000" w:themeColor="text1"/>
              <w:sz w:val="22"/>
              <w:szCs w:val="22"/>
              <w:highlight w:val="none"/>
              <w:lang w:eastAsia="zh-CN"/>
              <w14:textFill>
                <w14:solidFill>
                  <w14:schemeClr w14:val="tx1"/>
                </w14:solidFill>
              </w14:textFill>
            </w:rPr>
            <w:t xml:space="preserve"> </w:t>
          </w:r>
          <w:r>
            <w:rPr>
              <w:rFonts w:hint="eastAsia" w:hAnsi="宋体" w:cs="宋体"/>
              <w:color w:val="000000" w:themeColor="text1"/>
              <w:szCs w:val="21"/>
              <w:highlight w:val="none"/>
              <w14:textFill>
                <w14:solidFill>
                  <w14:schemeClr w14:val="tx1"/>
                </w14:solidFill>
              </w14:textFill>
            </w:rPr>
            <w:t>3</w:t>
          </w:r>
          <w:r>
            <w:rPr>
              <w:rFonts w:hint="eastAsia" w:ascii="MS Mincho" w:hAnsi="MS Mincho" w:eastAsia="MS Mincho" w:cs="MS Mincho"/>
              <w:color w:val="000000" w:themeColor="text1"/>
              <w:sz w:val="22"/>
              <w:szCs w:val="22"/>
              <w:highlight w:val="none"/>
              <w14:textFill>
                <w14:solidFill>
                  <w14:schemeClr w14:val="tx1"/>
                </w14:solidFill>
              </w14:textFill>
            </w:rPr>
            <w:t> </w:t>
          </w:r>
          <w:r>
            <w:rPr>
              <w:rFonts w:hint="eastAsia" w:hAnsi="宋体" w:cs="宋体"/>
              <w:color w:val="000000" w:themeColor="text1"/>
              <w:szCs w:val="21"/>
              <w:highlight w:val="none"/>
              <w14:textFill>
                <w14:solidFill>
                  <w14:schemeClr w14:val="tx1"/>
                </w14:solidFill>
              </w14:textFill>
            </w:rPr>
            <w:t>d</w:t>
          </w:r>
          <w:r>
            <w:rPr>
              <w:rFonts w:hint="eastAsia" w:hAnsi="宋体" w:cs="宋体"/>
              <w:color w:val="000000" w:themeColor="text1"/>
              <w:szCs w:val="21"/>
              <w:highlight w:val="none"/>
              <w:lang w:bidi="ar"/>
              <w14:textFill>
                <w14:solidFill>
                  <w14:schemeClr w14:val="tx1"/>
                </w14:solidFill>
              </w14:textFill>
            </w:rPr>
            <w:t>～4</w:t>
          </w:r>
          <w:r>
            <w:rPr>
              <w:rFonts w:hint="eastAsia" w:hAnsi="宋体" w:cs="宋体"/>
              <w:color w:val="000000" w:themeColor="text1"/>
              <w:szCs w:val="21"/>
              <w:highlight w:val="none"/>
              <w:lang w:eastAsia="zh-CN"/>
              <w14:textFill>
                <w14:solidFill>
                  <w14:schemeClr w14:val="tx1"/>
                </w14:solidFill>
              </w14:textFill>
            </w:rPr>
            <w:t xml:space="preserve"> d</w:t>
          </w:r>
          <w:r>
            <w:rPr>
              <w:rFonts w:hint="eastAsia" w:hAnsi="宋体" w:cs="宋体"/>
              <w:color w:val="000000" w:themeColor="text1"/>
              <w:szCs w:val="21"/>
              <w:highlight w:val="none"/>
              <w:lang w:bidi="ar"/>
              <w14:textFill>
                <w14:solidFill>
                  <w14:schemeClr w14:val="tx1"/>
                </w14:solidFill>
              </w14:textFill>
            </w:rPr>
            <w:t>，育苗袋停止浇水。</w:t>
          </w:r>
        </w:p>
        <w:p w14:paraId="00C4BF47">
          <w:pPr>
            <w:widowControl/>
            <w:spacing w:before="120" w:beforeLines="50" w:after="120" w:afterLines="50" w:line="240" w:lineRule="auto"/>
            <w:jc w:val="left"/>
            <w:outlineLvl w:val="1"/>
            <w:rPr>
              <w:rFonts w:ascii="黑体" w:hAnsi="宋体" w:eastAsia="黑体" w:cs="黑体"/>
              <w:color w:val="000000" w:themeColor="text1"/>
              <w:kern w:val="0"/>
              <w:highlight w:val="none"/>
              <w:lang w:bidi="ar"/>
              <w14:textFill>
                <w14:solidFill>
                  <w14:schemeClr w14:val="tx1"/>
                </w14:solidFill>
              </w14:textFill>
            </w:rPr>
          </w:pPr>
          <w:r>
            <w:rPr>
              <w:rFonts w:hint="eastAsia" w:ascii="黑体" w:hAnsi="宋体" w:eastAsia="黑体" w:cs="黑体"/>
              <w:color w:val="000000" w:themeColor="text1"/>
              <w:kern w:val="0"/>
              <w:highlight w:val="none"/>
              <w:lang w:bidi="ar"/>
              <w14:textFill>
                <w14:solidFill>
                  <w14:schemeClr w14:val="tx1"/>
                </w14:solidFill>
              </w14:textFill>
            </w:rPr>
            <w:t xml:space="preserve">7.2.5 包装、贮存与运输 </w:t>
          </w:r>
        </w:p>
        <w:p w14:paraId="16EABB52">
          <w:pPr>
            <w:widowControl/>
            <w:spacing w:line="240" w:lineRule="auto"/>
            <w:ind w:firstLine="420" w:firstLineChars="200"/>
            <w:jc w:val="left"/>
            <w:rPr>
              <w:color w:val="000000" w:themeColor="text1"/>
              <w:sz w:val="21"/>
              <w:szCs w:val="21"/>
              <w14:textFill>
                <w14:solidFill>
                  <w14:schemeClr w14:val="tx1"/>
                </w14:solidFill>
              </w14:textFill>
            </w:rPr>
          </w:pPr>
          <w:r>
            <w:rPr>
              <w:rFonts w:hint="eastAsia" w:ascii="宋体" w:hAnsi="宋体" w:cs="宋体"/>
              <w:color w:val="000000" w:themeColor="text1"/>
              <w:kern w:val="0"/>
              <w:sz w:val="21"/>
              <w:szCs w:val="21"/>
              <w:lang w:bidi="ar"/>
              <w14:textFill>
                <w14:solidFill>
                  <w14:schemeClr w14:val="tx1"/>
                </w14:solidFill>
              </w14:textFill>
            </w:rPr>
            <w:t>分级后的种苗按级别装筐，运输过程保持遮荫、通风、保湿，避免日晒雨淋。种苗应置于荫凉处，保持通风、透气，保持营养杯内湿润，保存时间不宜超过</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7</w:t>
          </w:r>
          <w:r>
            <w:rPr>
              <w:rFonts w:hint="eastAsia" w:ascii="MS Mincho" w:hAnsi="MS Mincho" w:cs="MS Mincho"/>
              <w:color w:val="000000" w:themeColor="text1"/>
              <w:sz w:val="21"/>
              <w:szCs w:val="21"/>
              <w:lang w:eastAsia="zh-CN"/>
              <w14:textFill>
                <w14:solidFill>
                  <w14:schemeClr w14:val="tx1"/>
                </w14:solidFill>
              </w14:textFill>
            </w:rPr>
            <w:t xml:space="preserve"> </w:t>
          </w:r>
          <w:r>
            <w:rPr>
              <w:rFonts w:hint="eastAsia" w:ascii="宋体" w:hAnsi="宋体" w:eastAsia="宋体" w:cs="宋体"/>
              <w:color w:val="000000" w:themeColor="text1"/>
              <w:kern w:val="0"/>
              <w:sz w:val="21"/>
              <w:szCs w:val="21"/>
              <w:highlight w:val="none"/>
              <w:lang w:val="en-US" w:eastAsia="zh-CN" w:bidi="ar-SA"/>
              <w14:textFill>
                <w14:solidFill>
                  <w14:schemeClr w14:val="tx1"/>
                </w14:solidFill>
              </w14:textFill>
            </w:rPr>
            <w:t>d</w:t>
          </w:r>
          <w:r>
            <w:rPr>
              <w:rFonts w:hint="eastAsia" w:ascii="宋体" w:hAnsi="宋体" w:cs="宋体"/>
              <w:color w:val="000000" w:themeColor="text1"/>
              <w:kern w:val="0"/>
              <w:sz w:val="21"/>
              <w:szCs w:val="21"/>
              <w:lang w:bidi="ar"/>
              <w14:textFill>
                <w14:solidFill>
                  <w14:schemeClr w14:val="tx1"/>
                </w14:solidFill>
              </w14:textFill>
            </w:rPr>
            <w:t>。</w:t>
          </w:r>
        </w:p>
        <w:p w14:paraId="4620F8EE">
          <w:pPr>
            <w:pStyle w:val="106"/>
            <w:numPr>
              <w:ilvl w:val="0"/>
              <w:numId w:val="0"/>
            </w:numPr>
            <w:spacing w:before="240" w:after="240"/>
            <w:rPr>
              <w:color w:val="000000" w:themeColor="text1"/>
              <w:sz w:val="21"/>
              <w:szCs w:val="21"/>
              <w14:textFill>
                <w14:solidFill>
                  <w14:schemeClr w14:val="tx1"/>
                </w14:solidFill>
              </w14:textFill>
            </w:rPr>
          </w:pPr>
          <w:bookmarkStart w:id="73" w:name="_Toc3238"/>
          <w:bookmarkStart w:id="74" w:name="_Toc18877"/>
          <w:r>
            <w:rPr>
              <w:color w:val="000000" w:themeColor="text1"/>
              <w:sz w:val="21"/>
              <w:szCs w:val="21"/>
              <w14:textFill>
                <w14:solidFill>
                  <w14:schemeClr w14:val="tx1"/>
                </w14:solidFill>
              </w14:textFill>
            </w:rPr>
            <w:t>8</w:t>
          </w:r>
          <w:r>
            <w:rPr>
              <w:rFonts w:hint="eastAsia"/>
              <w:color w:val="000000" w:themeColor="text1"/>
              <w:sz w:val="21"/>
              <w:szCs w:val="21"/>
              <w:lang w:eastAsia="zh-CN"/>
              <w14:textFill>
                <w14:solidFill>
                  <w14:schemeClr w14:val="tx1"/>
                </w14:solidFill>
              </w14:textFill>
            </w:rPr>
            <w:t xml:space="preserve"> </w:t>
          </w:r>
          <w:r>
            <w:rPr>
              <w:color w:val="000000" w:themeColor="text1"/>
              <w:sz w:val="21"/>
              <w:szCs w:val="21"/>
              <w14:textFill>
                <w14:solidFill>
                  <w14:schemeClr w14:val="tx1"/>
                </w14:solidFill>
              </w14:textFill>
            </w:rPr>
            <w:t>果园建立</w:t>
          </w:r>
          <w:bookmarkEnd w:id="73"/>
          <w:bookmarkEnd w:id="74"/>
        </w:p>
        <w:p w14:paraId="79FA9404">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75" w:name="_Toc2333"/>
          <w:bookmarkStart w:id="76" w:name="_Toc1336"/>
          <w:r>
            <w:rPr>
              <w:rFonts w:hint="eastAsia" w:ascii="黑体" w:hAnsi="宋体" w:eastAsia="黑体" w:cs="黑体"/>
              <w:color w:val="000000" w:themeColor="text1"/>
              <w:kern w:val="0"/>
              <w:sz w:val="21"/>
              <w:szCs w:val="21"/>
              <w:lang w:bidi="ar"/>
              <w14:textFill>
                <w14:solidFill>
                  <w14:schemeClr w14:val="tx1"/>
                </w14:solidFill>
              </w14:textFill>
            </w:rPr>
            <w:t>8.1园地选择</w:t>
          </w:r>
          <w:bookmarkEnd w:id="75"/>
        </w:p>
        <w:p w14:paraId="1D0D65FA">
          <w:pPr>
            <w:pStyle w:val="58"/>
            <w:autoSpaceDE/>
            <w:autoSpaceDN/>
            <w:spacing w:before="120" w:beforeLines="50" w:after="120" w:afterLines="50"/>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园地选择具体要求见</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4。</w:t>
          </w:r>
        </w:p>
        <w:p w14:paraId="260DD980">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77" w:name="_Toc29038"/>
          <w:r>
            <w:rPr>
              <w:rFonts w:hint="eastAsia" w:ascii="黑体" w:hAnsi="宋体" w:eastAsia="黑体" w:cs="黑体"/>
              <w:color w:val="000000" w:themeColor="text1"/>
              <w:kern w:val="0"/>
              <w:sz w:val="21"/>
              <w:szCs w:val="21"/>
              <w:lang w:bidi="ar"/>
              <w14:textFill>
                <w14:solidFill>
                  <w14:schemeClr w14:val="tx1"/>
                </w14:solidFill>
              </w14:textFill>
            </w:rPr>
            <w:t>8.2园地规划</w:t>
          </w:r>
          <w:bookmarkEnd w:id="77"/>
        </w:p>
        <w:p w14:paraId="7C5DC762">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78" w:name="_Toc17419"/>
          <w:r>
            <w:rPr>
              <w:rFonts w:hint="eastAsia" w:ascii="黑体" w:hAnsi="宋体" w:eastAsia="黑体" w:cs="黑体"/>
              <w:color w:val="000000" w:themeColor="text1"/>
              <w:kern w:val="0"/>
              <w:sz w:val="21"/>
              <w:szCs w:val="21"/>
              <w:lang w:bidi="ar"/>
              <w14:textFill>
                <w14:solidFill>
                  <w14:schemeClr w14:val="tx1"/>
                </w14:solidFill>
              </w14:textFill>
            </w:rPr>
            <w:t>8.2.1园地设施</w:t>
          </w:r>
          <w:bookmarkEnd w:id="78"/>
        </w:p>
        <w:p w14:paraId="34B6EA2C">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修筑完备的蓄水池、排灌渠、沉沙池、沤粪池、作业道路及附属建筑物等设施。</w:t>
          </w:r>
        </w:p>
        <w:p w14:paraId="68425F4A">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79" w:name="_Toc18167"/>
          <w:r>
            <w:rPr>
              <w:rFonts w:hint="eastAsia" w:ascii="黑体" w:hAnsi="宋体" w:eastAsia="黑体" w:cs="黑体"/>
              <w:color w:val="000000" w:themeColor="text1"/>
              <w:kern w:val="0"/>
              <w:sz w:val="21"/>
              <w:szCs w:val="21"/>
              <w:lang w:bidi="ar"/>
              <w14:textFill>
                <w14:solidFill>
                  <w14:schemeClr w14:val="tx1"/>
                </w14:solidFill>
              </w14:textFill>
            </w:rPr>
            <w:t>8.2.2防护林</w:t>
          </w:r>
          <w:bookmarkEnd w:id="79"/>
        </w:p>
        <w:p w14:paraId="554E9AC2">
          <w:pPr>
            <w:pStyle w:val="58"/>
            <w:autoSpaceDE/>
            <w:autoSpaceDN/>
            <w:spacing w:before="120" w:beforeLines="50" w:after="120" w:afterLines="50"/>
            <w:ind w:firstLine="420"/>
            <w:rPr>
              <w:color w:val="000000" w:themeColor="text1"/>
              <w:sz w:val="21"/>
              <w:szCs w:val="21"/>
              <w:lang w:bidi="ar"/>
              <w14:textFill>
                <w14:solidFill>
                  <w14:schemeClr w14:val="tx1"/>
                </w14:solidFill>
              </w14:textFill>
            </w:rPr>
          </w:pPr>
          <w:bookmarkStart w:id="80" w:name="_Toc20640"/>
          <w:bookmarkStart w:id="81" w:name="_Toc15932"/>
          <w:bookmarkStart w:id="82" w:name="_Toc18365"/>
          <w:r>
            <w:rPr>
              <w:rFonts w:hint="eastAsia"/>
              <w:color w:val="000000" w:themeColor="text1"/>
              <w:sz w:val="21"/>
              <w:szCs w:val="21"/>
              <w:lang w:bidi="ar"/>
              <w14:textFill>
                <w14:solidFill>
                  <w14:schemeClr w14:val="tx1"/>
                </w14:solidFill>
              </w14:textFill>
            </w:rPr>
            <w:t>针对台风区和有风害的地区，应设置防护林带。主林带设在迎风方向的园地边或山坡分水岭上，与水源林相连；副林带设在园中道路或排灌沟边沿，林带距边行植株 6 m以上。主林带方向与主风向垂直，种植 8</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行～10</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行；副林带与主林带垂直，种植 3</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行～5</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行。宜选择适合当地生长的高、中、矮树种混合种植，如椰子树、非洲楝、木麻黄和油茶等不易发生病害，且没有与菠萝蜜共同病虫害的树种。周边地头种植蛇床草、菊科显花植物等，优化农田生态，涵养利用自然天敌。</w:t>
          </w:r>
          <w:bookmarkEnd w:id="76"/>
          <w:bookmarkEnd w:id="80"/>
          <w:bookmarkEnd w:id="81"/>
          <w:bookmarkEnd w:id="82"/>
          <w:bookmarkStart w:id="83" w:name="_Toc12341"/>
        </w:p>
        <w:p w14:paraId="4393EE80">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84" w:name="_Toc11356"/>
          <w:r>
            <w:rPr>
              <w:rFonts w:hint="eastAsia" w:ascii="黑体" w:hAnsi="宋体" w:eastAsia="黑体" w:cs="黑体"/>
              <w:color w:val="000000" w:themeColor="text1"/>
              <w:kern w:val="0"/>
              <w:sz w:val="21"/>
              <w:szCs w:val="21"/>
              <w:lang w:bidi="ar"/>
              <w14:textFill>
                <w14:solidFill>
                  <w14:schemeClr w14:val="tx1"/>
                </w14:solidFill>
              </w14:textFill>
            </w:rPr>
            <w:t>8.3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园地开垦</w:t>
          </w:r>
          <w:bookmarkEnd w:id="83"/>
          <w:bookmarkEnd w:id="84"/>
        </w:p>
        <w:p w14:paraId="1D317F2A">
          <w:pPr>
            <w:pStyle w:val="58"/>
            <w:ind w:firstLine="420"/>
            <w:rPr>
              <w:rFonts w:hAnsi="宋体" w:cs="宋体"/>
              <w:color w:val="000000" w:themeColor="text1"/>
              <w:sz w:val="21"/>
              <w:szCs w:val="21"/>
              <w14:textFill>
                <w14:solidFill>
                  <w14:schemeClr w14:val="tx1"/>
                </w14:solidFill>
              </w14:textFill>
            </w:rPr>
          </w:pPr>
          <w:r>
            <w:rPr>
              <w:rFonts w:hint="eastAsia"/>
              <w:color w:val="000000" w:themeColor="text1"/>
              <w:sz w:val="21"/>
              <w:szCs w:val="21"/>
              <w:lang w:bidi="ar"/>
              <w14:textFill>
                <w14:solidFill>
                  <w14:schemeClr w14:val="tx1"/>
                </w14:solidFill>
              </w14:textFill>
            </w:rPr>
            <w:t>在定植前</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3</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个月完成土地平整，清除地表杂木、大石块等，采用机械调整优化地形，使地块尽量合并，地面削高填低，形成平整的地面或均匀的坡面。坡度低于</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5°的缓坡地及平地不必修筑沟埂梯田（撩壕）， 5°～8°坡地实行等高撩壕种植，8°～25°坡地应修筑梯田，面宽 2 m～5 m，向内倾斜 8°～10°，以利于保水。</w:t>
          </w:r>
        </w:p>
        <w:p w14:paraId="0EE83FDC">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85" w:name="_Toc4628"/>
          <w:bookmarkStart w:id="86" w:name="_Toc10849"/>
          <w:r>
            <w:rPr>
              <w:rFonts w:hint="eastAsia" w:ascii="黑体" w:hAnsi="宋体" w:eastAsia="黑体" w:cs="黑体"/>
              <w:color w:val="000000" w:themeColor="text1"/>
              <w:kern w:val="0"/>
              <w:sz w:val="21"/>
              <w:szCs w:val="21"/>
              <w:lang w:bidi="ar"/>
              <w14:textFill>
                <w14:solidFill>
                  <w14:schemeClr w14:val="tx1"/>
                </w14:solidFill>
              </w14:textFill>
            </w:rPr>
            <w:t>8.4</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植穴</w:t>
          </w:r>
          <w:bookmarkEnd w:id="85"/>
          <w:r>
            <w:rPr>
              <w:rFonts w:hint="eastAsia" w:ascii="黑体" w:hAnsi="宋体" w:eastAsia="黑体" w:cs="黑体"/>
              <w:color w:val="000000" w:themeColor="text1"/>
              <w:kern w:val="0"/>
              <w:sz w:val="21"/>
              <w:szCs w:val="21"/>
              <w:lang w:bidi="ar"/>
              <w14:textFill>
                <w14:solidFill>
                  <w14:schemeClr w14:val="tx1"/>
                </w14:solidFill>
              </w14:textFill>
            </w:rPr>
            <w:t>准备</w:t>
          </w:r>
          <w:bookmarkEnd w:id="86"/>
        </w:p>
        <w:p w14:paraId="7EE686FA">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8.4.1 植穴规格</w:t>
          </w:r>
        </w:p>
        <w:p w14:paraId="6CD51D87">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根据种植株行距放线，确定种植穴位置，用石灰在种植穴中心定标；用挖掘机挖种植穴，规格长宽深 60 cm×60 cm×50 cm，挖出的表土和心土分开放置在种植穴的旁边暴晒 15 d～20 d；丘陵地的梯地台面，定植穴在外埂向里 1.5 m～2.0</w:t>
          </w:r>
          <w:r>
            <w:rPr>
              <w:rFonts w:hint="eastAsia"/>
              <w:color w:val="000000" w:themeColor="text1"/>
              <w:sz w:val="21"/>
              <w:szCs w:val="21"/>
              <w:lang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m处。</w:t>
          </w:r>
        </w:p>
        <w:p w14:paraId="46DAB5DC">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8.4.2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施基肥</w:t>
          </w:r>
        </w:p>
        <w:p w14:paraId="4F7F8F77">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每穴施充分腐熟的畜禽粪肥或商品有机肥 15</w:t>
          </w:r>
          <w:r>
            <w:rPr>
              <w:rFonts w:hint="eastAsia"/>
              <w:color w:val="000000" w:themeColor="text1"/>
              <w:sz w:val="21"/>
              <w:szCs w:val="21"/>
              <w:lang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kg～20</w:t>
          </w:r>
          <w:r>
            <w:rPr>
              <w:rFonts w:hint="eastAsia"/>
              <w:color w:val="000000" w:themeColor="text1"/>
              <w:sz w:val="21"/>
              <w:szCs w:val="21"/>
              <w:lang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kg、钙镁磷肥 0.5</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kg～1</w:t>
          </w:r>
          <w:r>
            <w:rPr>
              <w:rFonts w:hint="eastAsia"/>
              <w:color w:val="000000" w:themeColor="text1"/>
              <w:sz w:val="21"/>
              <w:szCs w:val="21"/>
              <w:lang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kg，与表土混匀填入定植穴底部，继续用心土回填，回填后土层应高出畦面 20 cm～30 cm，并在植穴中间做好定植标记，待 1</w:t>
          </w:r>
          <w:r>
            <w:rPr>
              <w:rFonts w:hint="eastAsia"/>
              <w:color w:val="000000" w:themeColor="text1"/>
              <w:sz w:val="21"/>
              <w:szCs w:val="21"/>
              <w:lang w:val="en-US" w:eastAsia="zh-CN" w:bidi="ar"/>
              <w14:textFill>
                <w14:solidFill>
                  <w14:schemeClr w14:val="tx1"/>
                </w14:solidFill>
              </w14:textFill>
            </w:rPr>
            <w:t xml:space="preserve"> 个</w:t>
          </w:r>
          <w:r>
            <w:rPr>
              <w:rFonts w:hint="eastAsia"/>
              <w:color w:val="000000" w:themeColor="text1"/>
              <w:sz w:val="21"/>
              <w:szCs w:val="21"/>
              <w:lang w:bidi="ar"/>
              <w14:textFill>
                <w14:solidFill>
                  <w14:schemeClr w14:val="tx1"/>
                </w14:solidFill>
              </w14:textFill>
            </w:rPr>
            <w:t>月～2</w:t>
          </w:r>
          <w:r>
            <w:rPr>
              <w:rFonts w:hint="eastAsia"/>
              <w:color w:val="000000" w:themeColor="text1"/>
              <w:sz w:val="21"/>
              <w:szCs w:val="21"/>
              <w:lang w:val="en-US" w:eastAsia="zh-CN" w:bidi="ar"/>
              <w14:textFill>
                <w14:solidFill>
                  <w14:schemeClr w14:val="tx1"/>
                </w14:solidFill>
              </w14:textFill>
            </w:rPr>
            <w:t xml:space="preserve"> 个</w:t>
          </w:r>
          <w:r>
            <w:rPr>
              <w:rFonts w:hint="eastAsia"/>
              <w:color w:val="000000" w:themeColor="text1"/>
              <w:sz w:val="21"/>
              <w:szCs w:val="21"/>
              <w:lang w:bidi="ar"/>
              <w14:textFill>
                <w14:solidFill>
                  <w14:schemeClr w14:val="tx1"/>
                </w14:solidFill>
              </w14:textFill>
            </w:rPr>
            <w:t>月左右填土沉实后定植</w:t>
          </w:r>
          <w:r>
            <w:rPr>
              <w:color w:val="000000" w:themeColor="text1"/>
              <w:sz w:val="21"/>
              <w:szCs w:val="21"/>
              <w:lang w:bidi="ar"/>
              <w14:textFill>
                <w14:solidFill>
                  <w14:schemeClr w14:val="tx1"/>
                </w14:solidFill>
              </w14:textFill>
            </w:rPr>
            <w:t>。</w:t>
          </w:r>
        </w:p>
        <w:p w14:paraId="6BAF9A33">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87" w:name="_Toc17555"/>
          <w:bookmarkStart w:id="88" w:name="_Toc32339"/>
          <w:r>
            <w:rPr>
              <w:rFonts w:hint="eastAsia" w:ascii="黑体" w:hAnsi="宋体" w:eastAsia="黑体" w:cs="黑体"/>
              <w:color w:val="000000" w:themeColor="text1"/>
              <w:kern w:val="0"/>
              <w:sz w:val="21"/>
              <w:szCs w:val="21"/>
              <w:lang w:bidi="ar"/>
              <w14:textFill>
                <w14:solidFill>
                  <w14:schemeClr w14:val="tx1"/>
                </w14:solidFill>
              </w14:textFill>
            </w:rPr>
            <w:t>8.5</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定植</w:t>
          </w:r>
          <w:bookmarkEnd w:id="87"/>
        </w:p>
        <w:p w14:paraId="4ABB8BCA">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89" w:name="_Toc27009"/>
          <w:r>
            <w:rPr>
              <w:rFonts w:hint="eastAsia" w:ascii="黑体" w:hAnsi="宋体" w:eastAsia="黑体" w:cs="黑体"/>
              <w:color w:val="000000" w:themeColor="text1"/>
              <w:kern w:val="0"/>
              <w:sz w:val="21"/>
              <w:szCs w:val="21"/>
              <w:lang w:bidi="ar"/>
              <w14:textFill>
                <w14:solidFill>
                  <w14:schemeClr w14:val="tx1"/>
                </w14:solidFill>
              </w14:textFill>
            </w:rPr>
            <w:t>8.5.1定植时期</w:t>
          </w:r>
          <w:bookmarkEnd w:id="88"/>
          <w:bookmarkEnd w:id="89"/>
        </w:p>
        <w:p w14:paraId="17EEA891">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应避开高温或干旱季节，以春季或秋季降雨量充沛时期定植为佳，</w:t>
          </w:r>
          <w:r>
            <w:rPr>
              <w:rFonts w:hint="eastAsia"/>
              <w:color w:val="000000" w:themeColor="text1"/>
              <w:sz w:val="21"/>
              <w:szCs w:val="21"/>
              <w:lang w:bidi="ar"/>
              <w14:textFill>
                <w14:solidFill>
                  <w14:schemeClr w14:val="tx1"/>
                </w14:solidFill>
              </w14:textFill>
            </w:rPr>
            <w:t>宜选择阴天或晴天下午进行</w:t>
          </w:r>
          <w:r>
            <w:rPr>
              <w:rFonts w:hint="eastAsia"/>
              <w:color w:val="000000" w:themeColor="text1"/>
              <w:sz w:val="21"/>
              <w:szCs w:val="21"/>
              <w14:textFill>
                <w14:solidFill>
                  <w14:schemeClr w14:val="tx1"/>
                </w14:solidFill>
              </w14:textFill>
            </w:rPr>
            <w:t>。</w:t>
          </w:r>
        </w:p>
        <w:p w14:paraId="39C57088">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90" w:name="_Toc3669"/>
          <w:bookmarkStart w:id="91" w:name="_Toc18106"/>
          <w:r>
            <w:rPr>
              <w:rFonts w:hint="eastAsia" w:ascii="黑体" w:hAnsi="宋体" w:eastAsia="黑体" w:cs="黑体"/>
              <w:color w:val="000000" w:themeColor="text1"/>
              <w:kern w:val="0"/>
              <w:sz w:val="21"/>
              <w:szCs w:val="21"/>
              <w:lang w:bidi="ar"/>
              <w14:textFill>
                <w14:solidFill>
                  <w14:schemeClr w14:val="tx1"/>
                </w14:solidFill>
              </w14:textFill>
            </w:rPr>
            <w:t>8.5.2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定植</w:t>
          </w:r>
          <w:bookmarkEnd w:id="90"/>
          <w:r>
            <w:rPr>
              <w:rFonts w:hint="eastAsia" w:ascii="黑体" w:hAnsi="宋体" w:eastAsia="黑体" w:cs="黑体"/>
              <w:color w:val="000000" w:themeColor="text1"/>
              <w:kern w:val="0"/>
              <w:sz w:val="21"/>
              <w:szCs w:val="21"/>
              <w:lang w:bidi="ar"/>
              <w14:textFill>
                <w14:solidFill>
                  <w14:schemeClr w14:val="tx1"/>
                </w14:solidFill>
              </w14:textFill>
            </w:rPr>
            <w:t>密度</w:t>
          </w:r>
          <w:bookmarkEnd w:id="91"/>
        </w:p>
        <w:p w14:paraId="667AF18A">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推荐永久定植株行距 6 m×6 m或6 m×7 m，每公顷种植</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285</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株～315</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株。平地和土壤肥力较好的园地宜疏植，坡度较大的园地可适当缩小行间距。</w:t>
          </w:r>
        </w:p>
        <w:p w14:paraId="159116B3">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92" w:name="_Toc21409"/>
          <w:bookmarkStart w:id="93" w:name="_Toc10525"/>
          <w:r>
            <w:rPr>
              <w:rFonts w:hint="eastAsia" w:ascii="黑体" w:hAnsi="宋体" w:eastAsia="黑体" w:cs="黑体"/>
              <w:color w:val="000000" w:themeColor="text1"/>
              <w:kern w:val="0"/>
              <w:sz w:val="21"/>
              <w:szCs w:val="21"/>
              <w:lang w:bidi="ar"/>
              <w14:textFill>
                <w14:solidFill>
                  <w14:schemeClr w14:val="tx1"/>
                </w14:solidFill>
              </w14:textFill>
            </w:rPr>
            <w:t>8.5.3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定植方法</w:t>
          </w:r>
          <w:bookmarkEnd w:id="92"/>
          <w:bookmarkEnd w:id="93"/>
        </w:p>
        <w:p w14:paraId="7A208327">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先于植穴的标记处挖一小穴，将菠萝蜜苗置于穴中间，剥去营养袋，但不可弄散土团，将苗木直立放入穴中，嫁接口宜朝向东北，用细土覆盖至根茎，根茎结合部与地面平齐，扶正、填土，轻轻压实</w:t>
          </w:r>
          <w:r>
            <w:rPr>
              <w:rFonts w:hint="eastAsia"/>
              <w:lang w:bidi="ar"/>
            </w:rPr>
            <w:t>。</w:t>
          </w:r>
          <w:r>
            <w:rPr>
              <w:rFonts w:hint="eastAsia"/>
              <w:color w:val="000000" w:themeColor="text1"/>
              <w:sz w:val="21"/>
              <w:szCs w:val="21"/>
              <w:lang w:bidi="ar"/>
              <w14:textFill>
                <w14:solidFill>
                  <w14:schemeClr w14:val="tx1"/>
                </w14:solidFill>
              </w14:textFill>
            </w:rPr>
            <w:t>然后在树苗周围做成直径 0.8 m～1.0 m的树盘，浇足定根水，树盘盖草保湿。植后根据土壤墒情和天气情况，每 2 d～3 d淋水1次，直至成活；遇雨天注意排水防淹，30 d后检查成活情况并及时补植。</w:t>
          </w:r>
        </w:p>
        <w:p w14:paraId="4C545CDD">
          <w:pPr>
            <w:pStyle w:val="106"/>
            <w:numPr>
              <w:ilvl w:val="0"/>
              <w:numId w:val="0"/>
            </w:numPr>
            <w:spacing w:before="240" w:after="240"/>
            <w:rPr>
              <w:color w:val="000000" w:themeColor="text1"/>
              <w:sz w:val="21"/>
              <w:szCs w:val="21"/>
              <w14:textFill>
                <w14:solidFill>
                  <w14:schemeClr w14:val="tx1"/>
                </w14:solidFill>
              </w14:textFill>
            </w:rPr>
          </w:pPr>
          <w:bookmarkStart w:id="94" w:name="_Toc8184"/>
          <w:bookmarkStart w:id="95" w:name="_Toc5936"/>
          <w:r>
            <w:rPr>
              <w:rFonts w:hint="eastAsia"/>
              <w:color w:val="000000" w:themeColor="text1"/>
              <w:sz w:val="21"/>
              <w:szCs w:val="21"/>
              <w14:textFill>
                <w14:solidFill>
                  <w14:schemeClr w14:val="tx1"/>
                </w14:solidFill>
              </w14:textFill>
            </w:rPr>
            <w:t>9</w:t>
          </w:r>
          <w:r>
            <w:rPr>
              <w:rFonts w:hint="eastAsia"/>
              <w:color w:val="000000" w:themeColor="text1"/>
              <w:sz w:val="21"/>
              <w:szCs w:val="21"/>
              <w:lang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田间管理</w:t>
          </w:r>
          <w:bookmarkEnd w:id="94"/>
          <w:bookmarkEnd w:id="95"/>
        </w:p>
        <w:p w14:paraId="5B7B6120">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96" w:name="_Toc12718"/>
          <w:bookmarkStart w:id="97" w:name="_Toc25069"/>
          <w:r>
            <w:rPr>
              <w:rFonts w:hint="eastAsia" w:ascii="黑体" w:hAnsi="宋体" w:eastAsia="黑体" w:cs="黑体"/>
              <w:color w:val="000000" w:themeColor="text1"/>
              <w:kern w:val="0"/>
              <w:sz w:val="21"/>
              <w:szCs w:val="21"/>
              <w:lang w:bidi="ar"/>
              <w14:textFill>
                <w14:solidFill>
                  <w14:schemeClr w14:val="tx1"/>
                </w14:solidFill>
              </w14:textFill>
            </w:rPr>
            <w:t>9.1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幼龄树管理</w:t>
          </w:r>
          <w:bookmarkEnd w:id="96"/>
          <w:bookmarkEnd w:id="97"/>
        </w:p>
        <w:p w14:paraId="2749F679">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98" w:name="_Toc14080"/>
          <w:bookmarkStart w:id="99" w:name="_Toc13396"/>
          <w:r>
            <w:rPr>
              <w:rFonts w:hint="eastAsia" w:ascii="黑体" w:hAnsi="宋体" w:eastAsia="黑体" w:cs="黑体"/>
              <w:color w:val="000000" w:themeColor="text1"/>
              <w:kern w:val="0"/>
              <w:sz w:val="21"/>
              <w:szCs w:val="21"/>
              <w:lang w:bidi="ar"/>
              <w14:textFill>
                <w14:solidFill>
                  <w14:schemeClr w14:val="tx1"/>
                </w14:solidFill>
              </w14:textFill>
            </w:rPr>
            <w:t>9.1.1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土壤管理</w:t>
          </w:r>
          <w:bookmarkEnd w:id="98"/>
          <w:bookmarkEnd w:id="99"/>
        </w:p>
        <w:p w14:paraId="5B813E5F">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00" w:name="_Toc18291"/>
          <w:bookmarkStart w:id="101" w:name="_Toc3887"/>
          <w:r>
            <w:rPr>
              <w:rFonts w:hint="eastAsia" w:ascii="黑体" w:hAnsi="宋体" w:eastAsia="黑体" w:cs="黑体"/>
              <w:color w:val="000000" w:themeColor="text1"/>
              <w:kern w:val="0"/>
              <w:sz w:val="21"/>
              <w:szCs w:val="21"/>
              <w:lang w:bidi="ar"/>
              <w14:textFill>
                <w14:solidFill>
                  <w14:schemeClr w14:val="tx1"/>
                </w14:solidFill>
              </w14:textFill>
            </w:rPr>
            <w:t>9.1.1.1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间作</w:t>
          </w:r>
          <w:bookmarkEnd w:id="100"/>
          <w:bookmarkEnd w:id="101"/>
        </w:p>
        <w:p w14:paraId="0842A81E">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定植 1 a～3 a的幼龄果园可在行间间种菠萝、豆科作物、绿肥等低秆、非攀缘性作物或蔬菜。间作物需距菠萝蜜树冠滴水线 0.8 m以上。</w:t>
          </w:r>
        </w:p>
        <w:p w14:paraId="00384611">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02" w:name="_Toc6503"/>
          <w:bookmarkStart w:id="103" w:name="_Toc618"/>
          <w:r>
            <w:rPr>
              <w:rFonts w:hint="eastAsia" w:ascii="黑体" w:hAnsi="宋体" w:eastAsia="黑体" w:cs="黑体"/>
              <w:color w:val="000000" w:themeColor="text1"/>
              <w:kern w:val="0"/>
              <w:sz w:val="21"/>
              <w:szCs w:val="21"/>
              <w:lang w:bidi="ar"/>
              <w14:textFill>
                <w14:solidFill>
                  <w14:schemeClr w14:val="tx1"/>
                </w14:solidFill>
              </w14:textFill>
            </w:rPr>
            <w:t>9.1.1.2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树盘覆盖</w:t>
          </w:r>
          <w:bookmarkEnd w:id="102"/>
          <w:bookmarkEnd w:id="103"/>
        </w:p>
        <w:p w14:paraId="09E4B260">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以杂草、稻草、绿肥、作物的茎秆等对树盘进行周年覆盖，覆盖厚度为干草厚</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5 cm，上培薄土；覆盖物应离树干 15 cm～20 cm；亦可用地膜覆盖。对没有间作的果园，行间可进行生草覆盖，起保湿作用。</w:t>
          </w:r>
        </w:p>
        <w:p w14:paraId="259BC932">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04" w:name="_Toc29129"/>
          <w:bookmarkStart w:id="105" w:name="_Toc27543"/>
          <w:r>
            <w:rPr>
              <w:rFonts w:hint="eastAsia" w:ascii="黑体" w:hAnsi="宋体" w:eastAsia="黑体" w:cs="黑体"/>
              <w:color w:val="000000" w:themeColor="text1"/>
              <w:kern w:val="0"/>
              <w:sz w:val="21"/>
              <w:szCs w:val="21"/>
              <w:lang w:bidi="ar"/>
              <w14:textFill>
                <w14:solidFill>
                  <w14:schemeClr w14:val="tx1"/>
                </w14:solidFill>
              </w14:textFill>
            </w:rPr>
            <w:t>9.1.1.3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中耕除草</w:t>
          </w:r>
          <w:bookmarkEnd w:id="104"/>
          <w:bookmarkEnd w:id="105"/>
        </w:p>
        <w:p w14:paraId="64824D7B">
          <w:pPr>
            <w:pStyle w:val="167"/>
            <w:numPr>
              <w:ilvl w:val="0"/>
              <w:numId w:val="0"/>
            </w:numPr>
            <w:ind w:firstLine="420" w:firstLineChars="200"/>
            <w:rPr>
              <w:color w:val="000000" w:themeColor="text1"/>
              <w:sz w:val="21"/>
              <w:szCs w:val="21"/>
              <w14:textFill>
                <w14:solidFill>
                  <w14:schemeClr w14:val="tx1"/>
                </w14:solidFill>
              </w14:textFill>
            </w:rPr>
          </w:pPr>
          <w:r>
            <w:rPr>
              <w:rFonts w:hint="eastAsia" w:hAnsi="宋体" w:cs="宋体"/>
              <w:color w:val="000000" w:themeColor="text1"/>
              <w:sz w:val="21"/>
              <w:szCs w:val="21"/>
              <w14:textFill>
                <w14:solidFill>
                  <w14:schemeClr w14:val="tx1"/>
                </w14:solidFill>
              </w14:textFill>
            </w:rPr>
            <w:t>清除杂草或割草，每 3</w:t>
          </w:r>
          <w:r>
            <w:rPr>
              <w:rFonts w:hint="eastAsia" w:hAnsi="宋体" w:cs="宋体"/>
              <w:color w:val="000000" w:themeColor="text1"/>
              <w:sz w:val="21"/>
              <w:szCs w:val="21"/>
              <w:lang w:val="en-US" w:eastAsia="zh-CN"/>
              <w14:textFill>
                <w14:solidFill>
                  <w14:schemeClr w14:val="tx1"/>
                </w14:solidFill>
              </w14:textFill>
            </w:rPr>
            <w:t xml:space="preserve"> </w:t>
          </w:r>
          <w:r>
            <w:rPr>
              <w:rFonts w:hint="eastAsia" w:hAnsi="宋体" w:cs="宋体"/>
              <w:color w:val="000000" w:themeColor="text1"/>
              <w:sz w:val="21"/>
              <w:szCs w:val="21"/>
              <w14:textFill>
                <w14:solidFill>
                  <w14:schemeClr w14:val="tx1"/>
                </w14:solidFill>
              </w14:textFill>
            </w:rPr>
            <w:t>个月</w:t>
          </w:r>
          <w:r>
            <w:rPr>
              <w:rFonts w:hint="eastAsia"/>
              <w:color w:val="000000" w:themeColor="text1"/>
              <w:sz w:val="21"/>
              <w:szCs w:val="21"/>
              <w14:textFill>
                <w14:solidFill>
                  <w14:schemeClr w14:val="tx1"/>
                </w14:solidFill>
              </w14:textFill>
            </w:rPr>
            <w:t>～</w:t>
          </w:r>
          <w:r>
            <w:rPr>
              <w:rFonts w:hint="eastAsia" w:hAnsi="宋体" w:cs="宋体"/>
              <w:color w:val="000000" w:themeColor="text1"/>
              <w:sz w:val="21"/>
              <w:szCs w:val="21"/>
              <w14:textFill>
                <w14:solidFill>
                  <w14:schemeClr w14:val="tx1"/>
                </w14:solidFill>
              </w14:textFill>
            </w:rPr>
            <w:t>4</w:t>
          </w:r>
          <w:r>
            <w:rPr>
              <w:rFonts w:hint="eastAsia" w:hAnsi="宋体" w:cs="宋体"/>
              <w:color w:val="000000" w:themeColor="text1"/>
              <w:sz w:val="21"/>
              <w:szCs w:val="21"/>
              <w:lang w:val="en-US" w:eastAsia="zh-CN"/>
              <w14:textFill>
                <w14:solidFill>
                  <w14:schemeClr w14:val="tx1"/>
                </w14:solidFill>
              </w14:textFill>
            </w:rPr>
            <w:t xml:space="preserve"> </w:t>
          </w:r>
          <w:r>
            <w:rPr>
              <w:rFonts w:hint="eastAsia" w:hAnsi="宋体" w:cs="宋体"/>
              <w:color w:val="000000" w:themeColor="text1"/>
              <w:sz w:val="21"/>
              <w:szCs w:val="21"/>
              <w14:textFill>
                <w14:solidFill>
                  <w14:schemeClr w14:val="tx1"/>
                </w14:solidFill>
              </w14:textFill>
            </w:rPr>
            <w:t>个月一次，保持果园株行间无恶性杂草，并</w:t>
          </w:r>
          <w:r>
            <w:rPr>
              <w:rFonts w:hint="eastAsia"/>
              <w:color w:val="000000" w:themeColor="text1"/>
              <w:sz w:val="21"/>
              <w:szCs w:val="21"/>
              <w14:textFill>
                <w14:solidFill>
                  <w14:schemeClr w14:val="tx1"/>
                </w14:solidFill>
              </w14:textFill>
            </w:rPr>
            <w:t>结合施肥和除草，适时进行树盘中耕松土，每年 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次～2</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w:t>
          </w:r>
        </w:p>
        <w:p w14:paraId="75E35FD4">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06" w:name="_Toc2857"/>
          <w:r>
            <w:rPr>
              <w:rFonts w:hint="eastAsia" w:ascii="黑体" w:hAnsi="宋体" w:eastAsia="黑体" w:cs="黑体"/>
              <w:color w:val="000000" w:themeColor="text1"/>
              <w:kern w:val="0"/>
              <w:sz w:val="21"/>
              <w:szCs w:val="21"/>
              <w:lang w:bidi="ar"/>
              <w14:textFill>
                <w14:solidFill>
                  <w14:schemeClr w14:val="tx1"/>
                </w14:solidFill>
              </w14:textFill>
            </w:rPr>
            <w:t>9.1.2 扩穴改土</w:t>
          </w:r>
          <w:bookmarkEnd w:id="106"/>
        </w:p>
        <w:p w14:paraId="2EE03F01">
          <w:pPr>
            <w:pStyle w:val="233"/>
            <w:spacing w:before="120" w:beforeLines="50" w:after="120" w:afterLines="50"/>
            <w:ind w:firstLine="44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定植后次年进行深翻扩穴压绿。第</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次扩穴可在紧靠原植穴外侧挖环形施肥沟，沟深、宽各0.4 m，第</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3</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年起在树冠滴水线内</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20 cm处往外挖深、宽</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0.4 m的两条对称施肥沟，沟长</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 m～1.5 m。施肥沟内压入杂草或绿肥，撒施石灰</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0.5 kg，加入腐熟农家肥</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20 kg～30 kg，钙镁磷肥</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 kg，压紧覆土。</w:t>
          </w:r>
        </w:p>
        <w:p w14:paraId="6BDDCDEC">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07" w:name="_Toc128"/>
          <w:bookmarkStart w:id="108" w:name="_Toc26384"/>
          <w:r>
            <w:rPr>
              <w:rFonts w:hint="eastAsia" w:ascii="黑体" w:hAnsi="宋体" w:eastAsia="黑体" w:cs="黑体"/>
              <w:color w:val="000000" w:themeColor="text1"/>
              <w:kern w:val="0"/>
              <w:sz w:val="21"/>
              <w:szCs w:val="21"/>
              <w:lang w:bidi="ar"/>
              <w14:textFill>
                <w14:solidFill>
                  <w14:schemeClr w14:val="tx1"/>
                </w14:solidFill>
              </w14:textFill>
            </w:rPr>
            <w:t>9.1.3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施肥管理</w:t>
          </w:r>
          <w:bookmarkEnd w:id="107"/>
          <w:bookmarkEnd w:id="108"/>
        </w:p>
        <w:p w14:paraId="3731B84B">
          <w:pPr>
            <w:pStyle w:val="58"/>
            <w:ind w:firstLine="420"/>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春、夏、秋各施用</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次复合肥，冬季施用</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次有机肥。单株每次施复合肥 0.05 kg～0.1 kg，每季度</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次或腐熟的有机肥</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5 kg，每年</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次。第</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年距离树干基部约 30 cm～40 cm处，第</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2</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年以后在树冠滴水线下施用。定植后第</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2</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年起植株的施肥量相应提高，一般在前</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1</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年的基础上约增加 40 %～60 %。</w:t>
          </w:r>
        </w:p>
        <w:p w14:paraId="0977DBE8">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09" w:name="_Toc13379"/>
          <w:bookmarkStart w:id="110" w:name="_Toc32761"/>
          <w:r>
            <w:rPr>
              <w:rFonts w:hint="eastAsia" w:ascii="黑体" w:hAnsi="宋体" w:eastAsia="黑体" w:cs="黑体"/>
              <w:color w:val="000000" w:themeColor="text1"/>
              <w:kern w:val="0"/>
              <w:sz w:val="21"/>
              <w:szCs w:val="21"/>
              <w:lang w:bidi="ar"/>
              <w14:textFill>
                <w14:solidFill>
                  <w14:schemeClr w14:val="tx1"/>
                </w14:solidFill>
              </w14:textFill>
            </w:rPr>
            <w:t>9.1.4</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水分管理</w:t>
          </w:r>
          <w:bookmarkEnd w:id="109"/>
          <w:bookmarkEnd w:id="110"/>
        </w:p>
        <w:p w14:paraId="563C11C5">
          <w:pPr>
            <w:pStyle w:val="58"/>
            <w:ind w:firstLine="420"/>
            <w:rPr>
              <w:color w:val="000000" w:themeColor="text1"/>
              <w:sz w:val="21"/>
              <w:szCs w:val="21"/>
              <w14:textFill>
                <w14:solidFill>
                  <w14:schemeClr w14:val="tx1"/>
                </w14:solidFill>
              </w14:textFill>
            </w:rPr>
          </w:pPr>
          <w:r>
            <w:rPr>
              <w:rFonts w:hint="eastAsia"/>
              <w:color w:val="000000" w:themeColor="text1"/>
              <w:sz w:val="21"/>
              <w:szCs w:val="21"/>
              <w:lang w:bidi="ar"/>
              <w14:textFill>
                <w14:solidFill>
                  <w14:schemeClr w14:val="tx1"/>
                </w14:solidFill>
              </w14:textFill>
            </w:rPr>
            <w:t>种植后一周内，如无有效降雨，每天灌水</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1</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次，灌水时间宜在早晨或傍晚；一周后，每两天灌水</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1次，直至苗木成活。</w:t>
          </w:r>
          <w:r>
            <w:rPr>
              <w:rFonts w:hint="eastAsia"/>
              <w:color w:val="000000" w:themeColor="text1"/>
              <w:sz w:val="21"/>
              <w:szCs w:val="21"/>
              <w14:textFill>
                <w14:solidFill>
                  <w14:schemeClr w14:val="tx1"/>
                </w14:solidFill>
              </w14:textFill>
            </w:rPr>
            <w:t>在新梢萌动期和转绿期，若发生干旱应及时灌水，保持土壤相对含水量</w:t>
          </w:r>
          <w:r>
            <w:rPr>
              <w:rFonts w:hint="eastAsia"/>
              <w:color w:val="000000" w:themeColor="text1"/>
              <w:sz w:val="21"/>
              <w:szCs w:val="21"/>
              <w:lang w:val="en-US" w:eastAsia="zh-CN"/>
              <w14:textFill>
                <w14:solidFill>
                  <w14:schemeClr w14:val="tx1"/>
                </w14:solidFill>
              </w14:textFill>
            </w:rPr>
            <w:t xml:space="preserve"> </w:t>
          </w:r>
          <w:r>
            <w:rPr>
              <w:rFonts w:hint="eastAsia"/>
              <w:color w:val="000000" w:themeColor="text1"/>
              <w:sz w:val="21"/>
              <w:szCs w:val="21"/>
              <w14:textFill>
                <w14:solidFill>
                  <w14:schemeClr w14:val="tx1"/>
                </w14:solidFill>
              </w14:textFill>
            </w:rPr>
            <w:t>60%～75%，宜采用喷灌或微喷灌等节水灌溉方式。地势低洼或地下水位较高的园地，连续降雨之后应及时排除园内积水。</w:t>
          </w:r>
        </w:p>
        <w:p w14:paraId="59829F23">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11" w:name="_Toc12019"/>
          <w:bookmarkStart w:id="112" w:name="_Toc5397"/>
          <w:r>
            <w:rPr>
              <w:rFonts w:hint="eastAsia" w:ascii="黑体" w:hAnsi="宋体" w:eastAsia="黑体" w:cs="黑体"/>
              <w:color w:val="000000" w:themeColor="text1"/>
              <w:kern w:val="0"/>
              <w:sz w:val="21"/>
              <w:szCs w:val="21"/>
              <w:lang w:bidi="ar"/>
              <w14:textFill>
                <w14:solidFill>
                  <w14:schemeClr w14:val="tx1"/>
                </w14:solidFill>
              </w14:textFill>
            </w:rPr>
            <w:t>9.1.5</w:t>
          </w:r>
          <w:bookmarkEnd w:id="111"/>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整形修剪</w:t>
          </w:r>
          <w:bookmarkEnd w:id="112"/>
        </w:p>
        <w:p w14:paraId="031FE320">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13" w:name="_Toc6144"/>
          <w:r>
            <w:rPr>
              <w:rFonts w:hint="eastAsia" w:ascii="黑体" w:hAnsi="宋体" w:eastAsia="黑体" w:cs="黑体"/>
              <w:color w:val="000000" w:themeColor="text1"/>
              <w:kern w:val="0"/>
              <w:sz w:val="21"/>
              <w:szCs w:val="21"/>
              <w:lang w:bidi="ar"/>
              <w14:textFill>
                <w14:solidFill>
                  <w14:schemeClr w14:val="tx1"/>
                </w14:solidFill>
              </w14:textFill>
            </w:rPr>
            <w:t>9.1.5.1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定干</w:t>
          </w:r>
          <w:bookmarkEnd w:id="113"/>
        </w:p>
        <w:p w14:paraId="7958FB31">
          <w:pPr>
            <w:pStyle w:val="58"/>
            <w:ind w:firstLine="420"/>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定植 1 a～1.5 a后，距地面 1.0 m～1.2 m处选留一级分枝，选择 4</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枝～5</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枝，长势好、空间分布均匀、相距 10 cm～15 cm左右且角度为 45°～60°的 3</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条～4</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条新梢作为一级枝，待第</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5</w:t>
          </w:r>
          <w:r>
            <w:rPr>
              <w:rFonts w:hint="eastAsia"/>
              <w:color w:val="000000" w:themeColor="text1"/>
              <w:sz w:val="21"/>
              <w:szCs w:val="21"/>
              <w:lang w:val="en-US" w:eastAsia="zh-CN" w:bidi="ar"/>
              <w14:textFill>
                <w14:solidFill>
                  <w14:schemeClr w14:val="tx1"/>
                </w14:solidFill>
              </w14:textFill>
            </w:rPr>
            <w:t xml:space="preserve"> </w:t>
          </w:r>
          <w:r>
            <w:rPr>
              <w:rFonts w:hint="eastAsia"/>
              <w:color w:val="000000" w:themeColor="text1"/>
              <w:sz w:val="21"/>
              <w:szCs w:val="21"/>
              <w:lang w:bidi="ar"/>
              <w14:textFill>
                <w14:solidFill>
                  <w14:schemeClr w14:val="tx1"/>
                </w14:solidFill>
              </w14:textFill>
            </w:rPr>
            <w:t>条主枝留定后，即距地面 1.5 m～1.6 m处剪顶定干。一级分枝不宜选留对生枝。</w:t>
          </w:r>
        </w:p>
        <w:p w14:paraId="65A98C53">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14" w:name="_Toc4622"/>
          <w:r>
            <w:rPr>
              <w:rFonts w:hint="eastAsia" w:ascii="黑体" w:hAnsi="宋体" w:eastAsia="黑体" w:cs="黑体"/>
              <w:color w:val="000000" w:themeColor="text1"/>
              <w:kern w:val="0"/>
              <w:sz w:val="21"/>
              <w:szCs w:val="21"/>
              <w:lang w:bidi="ar"/>
              <w14:textFill>
                <w14:solidFill>
                  <w14:schemeClr w14:val="tx1"/>
                </w14:solidFill>
              </w14:textFill>
            </w:rPr>
            <w:t>9.1.5.2</w:t>
          </w:r>
          <w:bookmarkEnd w:id="114"/>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骨干枝培养</w:t>
          </w:r>
        </w:p>
        <w:p w14:paraId="347930EF">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9.1.5.2.1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一级分枝培养</w:t>
          </w:r>
        </w:p>
        <w:p w14:paraId="28570011">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应按东西南北四个方位选留 3</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个～5</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个健壮、分布均匀、向水平方向生长的枝条，培养为一级分枝（即主枝），选留的最低一个枝条应距地面 1 m左右，其余的枝条全部抹掉。</w:t>
          </w:r>
        </w:p>
        <w:p w14:paraId="2CAA4B58">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9.1.5.2.2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二级枝培养</w:t>
          </w:r>
        </w:p>
        <w:p w14:paraId="1C19272B">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一级分枝长 1.5 m～2 m时进行截顶，选留 3</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条～4</w:t>
          </w:r>
          <w:r>
            <w:rPr>
              <w:rFonts w:hint="eastAsia"/>
              <w:color w:val="000000" w:themeColor="text1"/>
              <w:lang w:val="en-US" w:eastAsia="zh-CN" w:bidi="ar"/>
              <w14:textFill>
                <w14:solidFill>
                  <w14:schemeClr w14:val="tx1"/>
                </w14:solidFill>
              </w14:textFill>
            </w:rPr>
            <w:t xml:space="preserve"> </w:t>
          </w:r>
          <w:r>
            <w:rPr>
              <w:rFonts w:hint="eastAsia"/>
              <w:color w:val="000000" w:themeColor="text1"/>
              <w:lang w:bidi="ar"/>
              <w14:textFill>
                <w14:solidFill>
                  <w14:schemeClr w14:val="tx1"/>
                </w14:solidFill>
              </w14:textFill>
            </w:rPr>
            <w:t>条健壮、分布均匀、向水平方向生长的枝条，培养二级分枝（即副主枝），其余枝条全部抹掉。</w:t>
          </w:r>
        </w:p>
        <w:p w14:paraId="0C0058F1">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9.1.5.3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修剪</w:t>
          </w:r>
        </w:p>
        <w:p w14:paraId="0460D17F">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新梢抽出后均要注意修剪，对于密生枝、交叉枝、重叠枝、纤弱枝、病虫枝、枯死枝等，应从枝条基部剪掉；对于生长过旺的徒长枝，可短截促生分枝。使其形成枝条分布均匀、合理、通风透光的矮化树冠。</w:t>
          </w:r>
        </w:p>
        <w:p w14:paraId="1151B49B">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r>
            <w:rPr>
              <w:rFonts w:hint="eastAsia" w:ascii="黑体" w:hAnsi="宋体" w:eastAsia="黑体" w:cs="黑体"/>
              <w:color w:val="000000" w:themeColor="text1"/>
              <w:kern w:val="0"/>
              <w:lang w:bidi="ar"/>
              <w14:textFill>
                <w14:solidFill>
                  <w14:schemeClr w14:val="tx1"/>
                </w14:solidFill>
              </w14:textFill>
            </w:rPr>
            <w:t>9.1.5.4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调校</w:t>
          </w:r>
        </w:p>
        <w:p w14:paraId="068A4C05">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各级分枝（尤其是主枝与副主枝）方向与角度不合要求时，采用牵引、压枝、吊枝、弯枝及短剪等办法予以调校。</w:t>
          </w:r>
        </w:p>
        <w:p w14:paraId="029307A7">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15" w:name="_Toc1895"/>
          <w:bookmarkStart w:id="116" w:name="_Toc8659"/>
          <w:r>
            <w:rPr>
              <w:rFonts w:hint="eastAsia" w:ascii="黑体" w:hAnsi="宋体" w:eastAsia="黑体" w:cs="黑体"/>
              <w:color w:val="000000" w:themeColor="text1"/>
              <w:kern w:val="0"/>
              <w:lang w:bidi="ar"/>
              <w14:textFill>
                <w14:solidFill>
                  <w14:schemeClr w14:val="tx1"/>
                </w14:solidFill>
              </w14:textFill>
            </w:rPr>
            <w:t>9.2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结果树管理</w:t>
          </w:r>
          <w:bookmarkEnd w:id="115"/>
          <w:bookmarkEnd w:id="116"/>
        </w:p>
        <w:p w14:paraId="5D994F1C">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bookmarkStart w:id="117" w:name="_Toc17150"/>
          <w:bookmarkStart w:id="118" w:name="_Toc7952"/>
          <w:r>
            <w:rPr>
              <w:rFonts w:hint="eastAsia" w:ascii="黑体" w:hAnsi="宋体" w:eastAsia="黑体" w:cs="黑体"/>
              <w:color w:val="000000" w:themeColor="text1"/>
              <w:kern w:val="0"/>
              <w:lang w:bidi="ar"/>
              <w14:textFill>
                <w14:solidFill>
                  <w14:schemeClr w14:val="tx1"/>
                </w14:solidFill>
              </w14:textFill>
            </w:rPr>
            <w:t>9.2.1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土壤管理</w:t>
          </w:r>
          <w:bookmarkEnd w:id="117"/>
          <w:bookmarkEnd w:id="118"/>
        </w:p>
        <w:p w14:paraId="5D7CBCEA">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bookmarkStart w:id="119" w:name="_Toc8173"/>
          <w:bookmarkStart w:id="120" w:name="_Toc18062"/>
          <w:r>
            <w:rPr>
              <w:rFonts w:hint="eastAsia" w:ascii="黑体" w:hAnsi="宋体" w:eastAsia="黑体" w:cs="黑体"/>
              <w:color w:val="000000" w:themeColor="text1"/>
              <w:kern w:val="0"/>
              <w:lang w:bidi="ar"/>
              <w14:textFill>
                <w14:solidFill>
                  <w14:schemeClr w14:val="tx1"/>
                </w14:solidFill>
              </w14:textFill>
            </w:rPr>
            <w:t>9.2.1.1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扩穴改土</w:t>
          </w:r>
          <w:bookmarkEnd w:id="119"/>
          <w:bookmarkEnd w:id="120"/>
        </w:p>
        <w:p w14:paraId="15684264">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每年扩穴改土</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次，一般在采后修剪后 10 d～20 d内进行，沿树冠滴水线外围开深 40 cm～60 cm、宽 50 cm的条状沟或环形沟，每株施腐熟有机肥或商品有机肥 20 kg～25 kg、硫酸钾肥 1.0 kg～1.5 kg、钙镁磷肥 1.0 kg～1.5 kg，土壤酸性大的地区增施白云石粉或化学源土壤调理剂 0.5 kg～1.0 kg，与表土混匀后填回沟中。</w:t>
          </w:r>
        </w:p>
        <w:p w14:paraId="5BC7A096">
          <w:pPr>
            <w:widowControl/>
            <w:spacing w:before="120" w:beforeLines="50" w:after="120" w:afterLines="50" w:line="240" w:lineRule="auto"/>
            <w:jc w:val="left"/>
            <w:rPr>
              <w:rFonts w:ascii="黑体" w:hAnsi="宋体" w:eastAsia="黑体" w:cs="黑体"/>
              <w:color w:val="000000" w:themeColor="text1"/>
              <w:kern w:val="0"/>
              <w:lang w:bidi="ar"/>
              <w14:textFill>
                <w14:solidFill>
                  <w14:schemeClr w14:val="tx1"/>
                </w14:solidFill>
              </w14:textFill>
            </w:rPr>
          </w:pPr>
          <w:bookmarkStart w:id="121" w:name="_Toc18778"/>
          <w:bookmarkStart w:id="122" w:name="_Toc30953"/>
          <w:r>
            <w:rPr>
              <w:rFonts w:hint="eastAsia" w:ascii="黑体" w:hAnsi="宋体" w:eastAsia="黑体" w:cs="黑体"/>
              <w:color w:val="000000" w:themeColor="text1"/>
              <w:kern w:val="0"/>
              <w:lang w:bidi="ar"/>
              <w14:textFill>
                <w14:solidFill>
                  <w14:schemeClr w14:val="tx1"/>
                </w14:solidFill>
              </w14:textFill>
            </w:rPr>
            <w:t>9.2.1.2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果园生草</w:t>
          </w:r>
          <w:bookmarkEnd w:id="121"/>
          <w:bookmarkEnd w:id="122"/>
        </w:p>
        <w:p w14:paraId="1468856B">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采用自然生草或人工种草进行地面覆盖，人工种草可种植假花生、广东金钱草等适应性强、覆盖性能好的草种。定期进行刈割压青以控制草的高度。</w:t>
          </w:r>
        </w:p>
        <w:p w14:paraId="08D31511">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23" w:name="_Toc362"/>
          <w:bookmarkStart w:id="124" w:name="_Toc4206"/>
          <w:r>
            <w:rPr>
              <w:rFonts w:hint="eastAsia" w:ascii="黑体" w:hAnsi="宋体" w:eastAsia="黑体" w:cs="黑体"/>
              <w:color w:val="000000" w:themeColor="text1"/>
              <w:kern w:val="0"/>
              <w:lang w:bidi="ar"/>
              <w14:textFill>
                <w14:solidFill>
                  <w14:schemeClr w14:val="tx1"/>
                </w14:solidFill>
              </w14:textFill>
            </w:rPr>
            <w:t>9.2.2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施肥管理</w:t>
          </w:r>
          <w:bookmarkEnd w:id="123"/>
          <w:bookmarkEnd w:id="124"/>
        </w:p>
        <w:p w14:paraId="24DBF3AF">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25" w:name="_Toc31480"/>
          <w:bookmarkStart w:id="126" w:name="_Toc9465"/>
          <w:r>
            <w:rPr>
              <w:rFonts w:hint="eastAsia" w:ascii="黑体" w:hAnsi="宋体" w:eastAsia="黑体" w:cs="黑体"/>
              <w:color w:val="000000" w:themeColor="text1"/>
              <w:kern w:val="0"/>
              <w:lang w:bidi="ar"/>
              <w14:textFill>
                <w14:solidFill>
                  <w14:schemeClr w14:val="tx1"/>
                </w14:solidFill>
              </w14:textFill>
            </w:rPr>
            <w:t>9.2.2.1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施肥原则</w:t>
          </w:r>
          <w:bookmarkEnd w:id="125"/>
        </w:p>
        <w:p w14:paraId="2520577E">
          <w:pPr>
            <w:widowControl/>
            <w:spacing w:line="240" w:lineRule="auto"/>
            <w:ind w:firstLine="420" w:firstLineChars="200"/>
            <w:jc w:val="left"/>
            <w:rPr>
              <w:rFonts w:ascii="宋体" w:hAnsi="Times New Roman"/>
              <w:color w:val="000000" w:themeColor="text1"/>
              <w:kern w:val="0"/>
              <w:szCs w:val="20"/>
              <w14:textFill>
                <w14:solidFill>
                  <w14:schemeClr w14:val="tx1"/>
                </w14:solidFill>
              </w14:textFill>
            </w:rPr>
          </w:pPr>
          <w:bookmarkStart w:id="127" w:name="_Toc11464"/>
          <w:r>
            <w:rPr>
              <w:rFonts w:hint="eastAsia" w:ascii="宋体" w:hAnsi="Times New Roman"/>
              <w:color w:val="000000" w:themeColor="text1"/>
              <w:kern w:val="0"/>
              <w:szCs w:val="20"/>
              <w14:textFill>
                <w14:solidFill>
                  <w14:schemeClr w14:val="tx1"/>
                </w14:solidFill>
              </w14:textFill>
            </w:rPr>
            <w:t>根据菠萝蜜养分需要规律和土壤供肥能力进行施肥，幼龄期多施氮肥、磷肥，成年树挂果期多施钾肥。根据土壤肥力、植株生长量和产量水平等因素确定施肥量。高产园和低产园施用量可按照与中产园产量比值相应调整。有条件的单位可配合测土配方和营养诊断方法进行合理施肥；根据菠萝蜜需肥规律、土壤供肥能力和肥料效率提出菠萝蜜施肥的配比方案和技术，以施用有机肥为主、合理施用化肥、提倡施用微生物肥，宜采用营养诊断施肥、平衡施肥及水肥一体化施肥，不使用未经国家有关部门批准登记和许可生产的商品肥料和新型肥料。肥料的使用参照</w:t>
          </w:r>
          <w:r>
            <w:rPr>
              <w:rFonts w:hint="eastAsia" w:ascii="宋体" w:hAnsi="Times New Roman"/>
              <w:color w:val="000000" w:themeColor="text1"/>
              <w:kern w:val="0"/>
              <w:szCs w:val="20"/>
              <w:lang w:val="en-US" w:eastAsia="zh-CN"/>
              <w14:textFill>
                <w14:solidFill>
                  <w14:schemeClr w14:val="tx1"/>
                </w14:solidFill>
              </w14:textFill>
            </w:rPr>
            <w:t>NY</w:t>
          </w:r>
          <w:r>
            <w:rPr>
              <w:rFonts w:hint="eastAsia" w:ascii="宋体" w:hAnsi="Times New Roman"/>
              <w:color w:val="000000" w:themeColor="text1"/>
              <w:kern w:val="0"/>
              <w:szCs w:val="20"/>
              <w14:textFill>
                <w14:solidFill>
                  <w14:schemeClr w14:val="tx1"/>
                </w14:solidFill>
              </w14:textFill>
            </w:rPr>
            <w:t>/T 496 的规定执行。</w:t>
          </w:r>
          <w:bookmarkEnd w:id="127"/>
        </w:p>
        <w:p w14:paraId="64C94B39">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28" w:name="_Toc29917"/>
          <w:r>
            <w:rPr>
              <w:rFonts w:hint="eastAsia" w:ascii="黑体" w:hAnsi="宋体" w:eastAsia="黑体" w:cs="黑体"/>
              <w:color w:val="000000" w:themeColor="text1"/>
              <w:kern w:val="0"/>
              <w:lang w:bidi="ar"/>
              <w14:textFill>
                <w14:solidFill>
                  <w14:schemeClr w14:val="tx1"/>
                </w14:solidFill>
              </w14:textFill>
            </w:rPr>
            <w:t>9.2.2.2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不同时期施肥</w:t>
          </w:r>
          <w:bookmarkEnd w:id="126"/>
          <w:bookmarkEnd w:id="128"/>
        </w:p>
        <w:p w14:paraId="1957AA5E">
          <w:pPr>
            <w:widowControl/>
            <w:spacing w:before="120" w:beforeLines="50" w:after="120" w:afterLines="50" w:line="240" w:lineRule="auto"/>
            <w:jc w:val="center"/>
            <w:rPr>
              <w:rFonts w:ascii="黑体" w:hAnsi="宋体" w:eastAsia="黑体" w:cs="黑体"/>
              <w:kern w:val="0"/>
              <w:lang w:bidi="ar"/>
            </w:rPr>
          </w:pPr>
          <w:r>
            <w:rPr>
              <w:rFonts w:hint="eastAsia" w:ascii="黑体" w:hAnsi="宋体" w:eastAsia="黑体" w:cs="黑体"/>
              <w:kern w:val="0"/>
              <w:lang w:bidi="ar"/>
            </w:rPr>
            <w:t>表2 菠萝蜜不同时期施肥</w:t>
          </w:r>
        </w:p>
        <w:tbl>
          <w:tblPr>
            <w:tblStyle w:val="29"/>
            <w:tblW w:w="95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1"/>
            <w:gridCol w:w="2475"/>
            <w:gridCol w:w="2175"/>
            <w:gridCol w:w="3866"/>
          </w:tblGrid>
          <w:tr w14:paraId="211AF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Align w:val="center"/>
              </w:tcPr>
              <w:p w14:paraId="532F97C3">
                <w:pPr>
                  <w:spacing w:line="240" w:lineRule="auto"/>
                  <w:jc w:val="center"/>
                  <w:rPr>
                    <w:rFonts w:ascii="宋体" w:hAnsi="宋体" w:cs="宋体"/>
                    <w:sz w:val="18"/>
                    <w:szCs w:val="18"/>
                  </w:rPr>
                </w:pPr>
                <w:r>
                  <w:rPr>
                    <w:rFonts w:hint="eastAsia" w:ascii="宋体" w:hAnsi="宋体" w:cs="宋体"/>
                    <w:sz w:val="18"/>
                    <w:szCs w:val="18"/>
                  </w:rPr>
                  <w:t>时期</w:t>
                </w:r>
              </w:p>
            </w:tc>
            <w:tc>
              <w:tcPr>
                <w:tcW w:w="2475" w:type="dxa"/>
                <w:vAlign w:val="center"/>
              </w:tcPr>
              <w:p w14:paraId="63DDF5D8">
                <w:pPr>
                  <w:spacing w:line="240" w:lineRule="auto"/>
                  <w:jc w:val="center"/>
                  <w:rPr>
                    <w:rFonts w:ascii="宋体" w:hAnsi="宋体" w:cs="宋体"/>
                    <w:sz w:val="18"/>
                    <w:szCs w:val="18"/>
                  </w:rPr>
                </w:pPr>
                <w:r>
                  <w:rPr>
                    <w:rFonts w:hint="eastAsia" w:ascii="宋体" w:hAnsi="宋体" w:cs="宋体"/>
                    <w:sz w:val="18"/>
                    <w:szCs w:val="18"/>
                  </w:rPr>
                  <w:t>肥料名称</w:t>
                </w:r>
              </w:p>
            </w:tc>
            <w:tc>
              <w:tcPr>
                <w:tcW w:w="2175" w:type="dxa"/>
                <w:vAlign w:val="center"/>
              </w:tcPr>
              <w:p w14:paraId="552D4FC9">
                <w:pPr>
                  <w:spacing w:line="240" w:lineRule="auto"/>
                  <w:jc w:val="center"/>
                  <w:rPr>
                    <w:rFonts w:ascii="宋体" w:hAnsi="宋体" w:cs="宋体"/>
                    <w:sz w:val="18"/>
                    <w:szCs w:val="18"/>
                  </w:rPr>
                </w:pPr>
                <w:r>
                  <w:rPr>
                    <w:rFonts w:hint="eastAsia" w:ascii="宋体" w:hAnsi="宋体" w:cs="宋体"/>
                    <w:sz w:val="18"/>
                    <w:szCs w:val="18"/>
                  </w:rPr>
                  <w:t>用量/每株</w:t>
                </w:r>
              </w:p>
            </w:tc>
            <w:tc>
              <w:tcPr>
                <w:tcW w:w="3866" w:type="dxa"/>
                <w:vAlign w:val="center"/>
              </w:tcPr>
              <w:p w14:paraId="465AB693">
                <w:pPr>
                  <w:spacing w:line="240" w:lineRule="auto"/>
                  <w:jc w:val="center"/>
                  <w:rPr>
                    <w:rFonts w:ascii="宋体" w:hAnsi="宋体" w:cs="宋体"/>
                    <w:sz w:val="18"/>
                    <w:szCs w:val="18"/>
                  </w:rPr>
                </w:pPr>
                <w:r>
                  <w:rPr>
                    <w:rFonts w:hint="eastAsia" w:ascii="宋体" w:hAnsi="宋体" w:cs="宋体"/>
                    <w:sz w:val="18"/>
                    <w:szCs w:val="18"/>
                  </w:rPr>
                  <w:t>施肥方法</w:t>
                </w:r>
              </w:p>
            </w:tc>
          </w:tr>
          <w:tr w14:paraId="322AC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Align w:val="center"/>
              </w:tcPr>
              <w:p w14:paraId="22600EFA">
                <w:pPr>
                  <w:spacing w:line="240" w:lineRule="auto"/>
                  <w:jc w:val="center"/>
                  <w:rPr>
                    <w:rFonts w:ascii="宋体" w:hAnsi="宋体" w:cs="宋体"/>
                    <w:sz w:val="18"/>
                    <w:szCs w:val="18"/>
                  </w:rPr>
                </w:pPr>
                <w:r>
                  <w:rPr>
                    <w:rFonts w:hint="eastAsia" w:ascii="宋体" w:hAnsi="宋体" w:cs="宋体"/>
                    <w:sz w:val="18"/>
                    <w:szCs w:val="18"/>
                  </w:rPr>
                  <w:t>壮梢肥</w:t>
                </w:r>
              </w:p>
              <w:p w14:paraId="5A2B43E4">
                <w:pPr>
                  <w:spacing w:line="240" w:lineRule="auto"/>
                  <w:jc w:val="center"/>
                  <w:rPr>
                    <w:rFonts w:ascii="宋体" w:hAnsi="宋体" w:cs="宋体"/>
                    <w:sz w:val="18"/>
                    <w:szCs w:val="18"/>
                  </w:rPr>
                </w:pPr>
              </w:p>
            </w:tc>
            <w:tc>
              <w:tcPr>
                <w:tcW w:w="2475" w:type="dxa"/>
                <w:vAlign w:val="center"/>
              </w:tcPr>
              <w:p w14:paraId="48D86F13">
                <w:pPr>
                  <w:spacing w:line="240" w:lineRule="auto"/>
                  <w:jc w:val="center"/>
                  <w:rPr>
                    <w:rFonts w:ascii="宋体" w:hAnsi="宋体" w:cs="宋体"/>
                    <w:sz w:val="18"/>
                    <w:szCs w:val="18"/>
                  </w:rPr>
                </w:pPr>
                <w:r>
                  <w:rPr>
                    <w:rFonts w:hint="eastAsia" w:ascii="宋体" w:hAnsi="宋体" w:cs="宋体"/>
                    <w:sz w:val="18"/>
                    <w:szCs w:val="18"/>
                  </w:rPr>
                  <w:t>大量元素水溶性肥料、微量元素及含有机质叶面肥</w:t>
                </w:r>
              </w:p>
            </w:tc>
            <w:tc>
              <w:tcPr>
                <w:tcW w:w="2175" w:type="dxa"/>
                <w:vAlign w:val="center"/>
              </w:tcPr>
              <w:p w14:paraId="3229FF4C">
                <w:pPr>
                  <w:spacing w:line="240" w:lineRule="auto"/>
                  <w:jc w:val="center"/>
                  <w:rPr>
                    <w:rFonts w:ascii="宋体" w:hAnsi="宋体" w:cs="宋体"/>
                    <w:sz w:val="18"/>
                    <w:szCs w:val="18"/>
                  </w:rPr>
                </w:pPr>
                <w:r>
                  <w:rPr>
                    <w:rFonts w:hint="eastAsia" w:ascii="宋体" w:hAnsi="宋体" w:cs="宋体"/>
                    <w:sz w:val="18"/>
                    <w:szCs w:val="18"/>
                  </w:rPr>
                  <w:t>按照使用说明浓度施用。</w:t>
                </w:r>
              </w:p>
            </w:tc>
            <w:tc>
              <w:tcPr>
                <w:tcW w:w="3866" w:type="dxa"/>
                <w:vAlign w:val="center"/>
              </w:tcPr>
              <w:p w14:paraId="1033E6D2">
                <w:pPr>
                  <w:spacing w:line="240" w:lineRule="auto"/>
                  <w:jc w:val="center"/>
                  <w:rPr>
                    <w:rFonts w:ascii="宋体" w:hAnsi="宋体" w:cs="宋体"/>
                    <w:sz w:val="18"/>
                    <w:szCs w:val="18"/>
                  </w:rPr>
                </w:pPr>
                <w:r>
                  <w:rPr>
                    <w:rFonts w:hint="eastAsia" w:ascii="宋体" w:hAnsi="宋体" w:cs="宋体"/>
                    <w:sz w:val="18"/>
                    <w:szCs w:val="18"/>
                  </w:rPr>
                  <w:t>在每批次枝梢顶芽萌动和叶片转绿期进行叶面追肥。在配制叶面肥过程中，酸性化肥或农药与碱性化肥或农药不能混合施用。</w:t>
                </w:r>
              </w:p>
            </w:tc>
          </w:tr>
          <w:tr w14:paraId="04E43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Align w:val="center"/>
              </w:tcPr>
              <w:p w14:paraId="2D72D6E0">
                <w:pPr>
                  <w:spacing w:line="240" w:lineRule="auto"/>
                  <w:jc w:val="center"/>
                  <w:rPr>
                    <w:rFonts w:ascii="宋体" w:hAnsi="宋体" w:cs="宋体"/>
                    <w:sz w:val="18"/>
                    <w:szCs w:val="18"/>
                  </w:rPr>
                </w:pPr>
                <w:r>
                  <w:rPr>
                    <w:rFonts w:hint="eastAsia" w:ascii="宋体" w:hAnsi="宋体" w:cs="宋体"/>
                    <w:sz w:val="18"/>
                    <w:szCs w:val="18"/>
                  </w:rPr>
                  <w:t>促花肥</w:t>
                </w:r>
              </w:p>
            </w:tc>
            <w:tc>
              <w:tcPr>
                <w:tcW w:w="2475" w:type="dxa"/>
                <w:vAlign w:val="center"/>
              </w:tcPr>
              <w:p w14:paraId="29AA1715">
                <w:pPr>
                  <w:spacing w:line="240" w:lineRule="auto"/>
                  <w:jc w:val="center"/>
                  <w:rPr>
                    <w:rFonts w:ascii="宋体" w:hAnsi="宋体" w:cs="宋体"/>
                    <w:sz w:val="18"/>
                    <w:szCs w:val="18"/>
                  </w:rPr>
                </w:pPr>
                <w:r>
                  <w:rPr>
                    <w:rFonts w:hint="eastAsia" w:ascii="宋体" w:hAnsi="宋体" w:cs="宋体"/>
                    <w:sz w:val="18"/>
                    <w:szCs w:val="18"/>
                  </w:rPr>
                  <w:t>水肥或人畜粪水＋15-15-15复合肥</w:t>
                </w:r>
              </w:p>
            </w:tc>
            <w:tc>
              <w:tcPr>
                <w:tcW w:w="2175" w:type="dxa"/>
                <w:vAlign w:val="center"/>
              </w:tcPr>
              <w:p w14:paraId="7D4453F2">
                <w:pPr>
                  <w:spacing w:line="240" w:lineRule="auto"/>
                  <w:jc w:val="center"/>
                  <w:rPr>
                    <w:rFonts w:ascii="宋体" w:hAnsi="宋体" w:cs="宋体"/>
                    <w:sz w:val="18"/>
                    <w:szCs w:val="18"/>
                  </w:rPr>
                </w:pPr>
                <w:r>
                  <w:rPr>
                    <w:rFonts w:hint="eastAsia" w:ascii="宋体" w:hAnsi="宋体" w:cs="宋体"/>
                    <w:sz w:val="18"/>
                    <w:szCs w:val="18"/>
                  </w:rPr>
                  <w:t>15</w:t>
                </w:r>
                <w:r>
                  <w:rPr>
                    <w:rFonts w:hint="eastAsia" w:ascii="宋体" w:hAnsi="宋体" w:cs="宋体"/>
                    <w:sz w:val="18"/>
                    <w:szCs w:val="18"/>
                    <w:lang w:val="en-US" w:eastAsia="zh-CN"/>
                  </w:rPr>
                  <w:t xml:space="preserve"> </w:t>
                </w:r>
                <w:r>
                  <w:rPr>
                    <w:rFonts w:hint="eastAsia" w:ascii="宋体" w:hAnsi="宋体" w:cs="宋体"/>
                    <w:sz w:val="18"/>
                    <w:szCs w:val="18"/>
                  </w:rPr>
                  <w:t>kg+0.2</w:t>
                </w:r>
                <w:r>
                  <w:rPr>
                    <w:rFonts w:hint="eastAsia"/>
                    <w:lang w:eastAsia="zh-CN"/>
                  </w:rPr>
                  <w:t xml:space="preserve"> </w:t>
                </w:r>
                <w:r>
                  <w:rPr>
                    <w:rFonts w:hint="eastAsia" w:ascii="宋体" w:hAnsi="宋体" w:cs="宋体"/>
                    <w:sz w:val="18"/>
                    <w:szCs w:val="18"/>
                  </w:rPr>
                  <w:t>kg</w:t>
                </w:r>
              </w:p>
            </w:tc>
            <w:tc>
              <w:tcPr>
                <w:tcW w:w="3866" w:type="dxa"/>
                <w:vAlign w:val="center"/>
              </w:tcPr>
              <w:p w14:paraId="41556A84">
                <w:pPr>
                  <w:spacing w:line="240" w:lineRule="auto"/>
                  <w:jc w:val="center"/>
                  <w:rPr>
                    <w:rFonts w:ascii="宋体" w:hAnsi="宋体" w:cs="宋体"/>
                    <w:sz w:val="18"/>
                    <w:szCs w:val="18"/>
                  </w:rPr>
                </w:pPr>
                <w:r>
                  <w:rPr>
                    <w:rFonts w:hint="eastAsia" w:ascii="宋体" w:hAnsi="宋体" w:cs="宋体"/>
                    <w:sz w:val="18"/>
                    <w:szCs w:val="18"/>
                  </w:rPr>
                  <w:t>地下水位低的园地宜在树冠滴水线处挖对称条沟深施，沟长</w:t>
                </w:r>
                <w:r>
                  <w:rPr>
                    <w:rFonts w:hint="eastAsia"/>
                    <w:lang w:eastAsia="zh-CN"/>
                  </w:rPr>
                  <w:t xml:space="preserve"> </w:t>
                </w:r>
                <w:r>
                  <w:rPr>
                    <w:rFonts w:hint="eastAsia" w:ascii="宋体" w:hAnsi="宋体" w:cs="宋体"/>
                    <w:sz w:val="18"/>
                    <w:szCs w:val="18"/>
                  </w:rPr>
                  <w:t>1 m～1.5 m，深、宽</w:t>
                </w:r>
                <w:r>
                  <w:rPr>
                    <w:rFonts w:hint="eastAsia"/>
                    <w:lang w:eastAsia="zh-CN"/>
                  </w:rPr>
                  <w:t xml:space="preserve"> </w:t>
                </w:r>
                <w:r>
                  <w:rPr>
                    <w:rFonts w:hint="eastAsia" w:ascii="宋体" w:hAnsi="宋体" w:cs="宋体"/>
                    <w:sz w:val="18"/>
                    <w:szCs w:val="18"/>
                  </w:rPr>
                  <w:t>0.3 m～0.4</w:t>
                </w:r>
                <w:r>
                  <w:t> </w:t>
                </w:r>
                <w:r>
                  <w:rPr>
                    <w:rFonts w:hint="eastAsia" w:ascii="宋体" w:hAnsi="宋体" w:cs="宋体"/>
                    <w:sz w:val="18"/>
                    <w:szCs w:val="18"/>
                  </w:rPr>
                  <w:t>m;地下水位较高的菠萝蜜，肥料施在树盘滴水线附近土面上，然后覆土。</w:t>
                </w:r>
              </w:p>
            </w:tc>
          </w:tr>
          <w:tr w14:paraId="72891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Merge w:val="restart"/>
                <w:vAlign w:val="center"/>
              </w:tcPr>
              <w:p w14:paraId="412C5E2D">
                <w:pPr>
                  <w:spacing w:line="240" w:lineRule="auto"/>
                  <w:jc w:val="center"/>
                  <w:rPr>
                    <w:rFonts w:ascii="宋体" w:hAnsi="宋体" w:cs="宋体"/>
                    <w:sz w:val="18"/>
                    <w:szCs w:val="18"/>
                  </w:rPr>
                </w:pPr>
                <w:r>
                  <w:rPr>
                    <w:rFonts w:hint="eastAsia" w:ascii="宋体" w:hAnsi="宋体" w:cs="宋体"/>
                    <w:sz w:val="18"/>
                    <w:szCs w:val="18"/>
                  </w:rPr>
                  <w:t>壮果肥</w:t>
                </w:r>
              </w:p>
            </w:tc>
            <w:tc>
              <w:tcPr>
                <w:tcW w:w="2475" w:type="dxa"/>
                <w:vAlign w:val="center"/>
              </w:tcPr>
              <w:p w14:paraId="5E25AB74">
                <w:pPr>
                  <w:spacing w:line="240" w:lineRule="auto"/>
                  <w:jc w:val="center"/>
                  <w:rPr>
                    <w:rFonts w:ascii="宋体" w:hAnsi="宋体" w:cs="宋体"/>
                    <w:sz w:val="18"/>
                    <w:szCs w:val="18"/>
                  </w:rPr>
                </w:pPr>
                <w:r>
                  <w:rPr>
                    <w:rFonts w:hint="eastAsia" w:ascii="宋体" w:hAnsi="宋体" w:cs="宋体"/>
                    <w:sz w:val="18"/>
                    <w:szCs w:val="18"/>
                  </w:rPr>
                  <w:t>氯化钾＋硝酸铵钙</w:t>
                </w:r>
              </w:p>
            </w:tc>
            <w:tc>
              <w:tcPr>
                <w:tcW w:w="2175" w:type="dxa"/>
                <w:vAlign w:val="center"/>
              </w:tcPr>
              <w:p w14:paraId="662F6970">
                <w:pPr>
                  <w:spacing w:line="240" w:lineRule="auto"/>
                  <w:jc w:val="center"/>
                  <w:rPr>
                    <w:rFonts w:ascii="宋体" w:hAnsi="宋体" w:cs="宋体"/>
                    <w:sz w:val="18"/>
                    <w:szCs w:val="18"/>
                  </w:rPr>
                </w:pPr>
                <w:r>
                  <w:rPr>
                    <w:rFonts w:hint="eastAsia" w:ascii="宋体" w:hAnsi="宋体" w:cs="宋体"/>
                    <w:sz w:val="18"/>
                    <w:szCs w:val="18"/>
                  </w:rPr>
                  <w:t>0.3</w:t>
                </w:r>
                <w:r>
                  <w:rPr>
                    <w:rFonts w:hint="eastAsia" w:ascii="宋体" w:hAnsi="宋体" w:cs="宋体"/>
                    <w:sz w:val="18"/>
                    <w:szCs w:val="18"/>
                    <w:lang w:val="en-US" w:eastAsia="zh-CN"/>
                  </w:rPr>
                  <w:t xml:space="preserve"> </w:t>
                </w:r>
                <w:r>
                  <w:rPr>
                    <w:rFonts w:hint="eastAsia" w:ascii="宋体" w:hAnsi="宋体" w:cs="宋体"/>
                    <w:sz w:val="18"/>
                    <w:szCs w:val="18"/>
                  </w:rPr>
                  <w:t>kg～0.5</w:t>
                </w:r>
                <w:r>
                  <w:rPr>
                    <w:rFonts w:hint="eastAsia" w:ascii="宋体" w:hAnsi="宋体" w:cs="宋体"/>
                    <w:sz w:val="18"/>
                    <w:szCs w:val="18"/>
                    <w:lang w:val="en-US" w:eastAsia="zh-CN"/>
                  </w:rPr>
                  <w:t xml:space="preserve"> </w:t>
                </w:r>
                <w:r>
                  <w:rPr>
                    <w:rFonts w:hint="eastAsia" w:ascii="宋体" w:hAnsi="宋体" w:cs="宋体"/>
                    <w:sz w:val="18"/>
                    <w:szCs w:val="18"/>
                  </w:rPr>
                  <w:t>kg＋0.25</w:t>
                </w:r>
                <w:r>
                  <w:rPr>
                    <w:rFonts w:hint="eastAsia" w:ascii="宋体" w:hAnsi="宋体" w:cs="宋体"/>
                    <w:sz w:val="18"/>
                    <w:szCs w:val="18"/>
                    <w:lang w:val="en-US" w:eastAsia="zh-CN"/>
                  </w:rPr>
                  <w:t xml:space="preserve"> </w:t>
                </w:r>
                <w:r>
                  <w:rPr>
                    <w:rFonts w:hint="eastAsia" w:ascii="宋体" w:hAnsi="宋体" w:cs="宋体"/>
                    <w:sz w:val="18"/>
                    <w:szCs w:val="18"/>
                  </w:rPr>
                  <w:t>kg～0.3</w:t>
                </w:r>
                <w:r>
                  <w:rPr>
                    <w:rFonts w:hint="eastAsia"/>
                    <w:lang w:eastAsia="zh-CN"/>
                  </w:rPr>
                  <w:t xml:space="preserve"> </w:t>
                </w:r>
                <w:r>
                  <w:rPr>
                    <w:rFonts w:hint="eastAsia" w:ascii="宋体" w:hAnsi="宋体" w:cs="宋体"/>
                    <w:sz w:val="18"/>
                    <w:szCs w:val="18"/>
                  </w:rPr>
                  <w:t>kg</w:t>
                </w:r>
              </w:p>
            </w:tc>
            <w:tc>
              <w:tcPr>
                <w:tcW w:w="3866" w:type="dxa"/>
                <w:vMerge w:val="restart"/>
                <w:vAlign w:val="center"/>
              </w:tcPr>
              <w:p w14:paraId="43ECE7E5">
                <w:pPr>
                  <w:spacing w:line="240" w:lineRule="auto"/>
                  <w:jc w:val="center"/>
                  <w:rPr>
                    <w:rFonts w:ascii="宋体" w:hAnsi="宋体" w:cs="宋体"/>
                    <w:sz w:val="18"/>
                    <w:szCs w:val="18"/>
                  </w:rPr>
                </w:pPr>
                <w:r>
                  <w:rPr>
                    <w:rFonts w:hint="eastAsia" w:ascii="宋体" w:hAnsi="宋体" w:cs="宋体"/>
                    <w:sz w:val="18"/>
                    <w:szCs w:val="18"/>
                  </w:rPr>
                  <w:t>土施，定果后施用</w:t>
                </w:r>
                <w:r>
                  <w:t> </w:t>
                </w:r>
                <w:r>
                  <w:rPr>
                    <w:rFonts w:hint="eastAsia" w:ascii="宋体" w:hAnsi="宋体" w:cs="宋体"/>
                    <w:sz w:val="18"/>
                    <w:szCs w:val="18"/>
                  </w:rPr>
                  <w:t>2</w:t>
                </w:r>
                <w:r>
                  <w:rPr>
                    <w:rFonts w:hint="eastAsia"/>
                    <w:lang w:val="en-US" w:eastAsia="zh-CN"/>
                  </w:rPr>
                  <w:t xml:space="preserve"> </w:t>
                </w:r>
                <w:r>
                  <w:rPr>
                    <w:rFonts w:hint="eastAsia" w:ascii="宋体" w:hAnsi="宋体" w:cs="宋体"/>
                    <w:sz w:val="18"/>
                    <w:szCs w:val="18"/>
                  </w:rPr>
                  <w:t>次～3</w:t>
                </w:r>
                <w:r>
                  <w:rPr>
                    <w:rFonts w:hint="eastAsia"/>
                    <w:lang w:eastAsia="zh-CN"/>
                  </w:rPr>
                  <w:t xml:space="preserve"> </w:t>
                </w:r>
                <w:r>
                  <w:rPr>
                    <w:rFonts w:hint="eastAsia" w:ascii="宋体" w:hAnsi="宋体" w:cs="宋体"/>
                    <w:sz w:val="18"/>
                    <w:szCs w:val="18"/>
                  </w:rPr>
                  <w:t>次。</w:t>
                </w:r>
              </w:p>
            </w:tc>
          </w:tr>
          <w:tr w14:paraId="2383C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Merge w:val="continue"/>
                <w:vAlign w:val="center"/>
              </w:tcPr>
              <w:p w14:paraId="119791A4">
                <w:pPr>
                  <w:spacing w:line="240" w:lineRule="auto"/>
                  <w:jc w:val="center"/>
                  <w:rPr>
                    <w:rFonts w:ascii="宋体" w:hAnsi="宋体" w:cs="宋体"/>
                    <w:sz w:val="18"/>
                    <w:szCs w:val="18"/>
                  </w:rPr>
                </w:pPr>
              </w:p>
            </w:tc>
            <w:tc>
              <w:tcPr>
                <w:tcW w:w="2475" w:type="dxa"/>
                <w:vAlign w:val="center"/>
              </w:tcPr>
              <w:p w14:paraId="7EBAF0E7">
                <w:pPr>
                  <w:spacing w:line="240" w:lineRule="auto"/>
                  <w:jc w:val="center"/>
                  <w:rPr>
                    <w:rFonts w:ascii="宋体" w:hAnsi="宋体" w:cs="宋体"/>
                    <w:sz w:val="18"/>
                    <w:szCs w:val="18"/>
                  </w:rPr>
                </w:pPr>
                <w:r>
                  <w:rPr>
                    <w:rFonts w:hint="eastAsia" w:ascii="宋体" w:hAnsi="宋体" w:cs="宋体"/>
                    <w:sz w:val="18"/>
                    <w:szCs w:val="18"/>
                  </w:rPr>
                  <w:t>复合肥</w:t>
                </w:r>
              </w:p>
            </w:tc>
            <w:tc>
              <w:tcPr>
                <w:tcW w:w="2175" w:type="dxa"/>
                <w:vAlign w:val="center"/>
              </w:tcPr>
              <w:p w14:paraId="64B8D430">
                <w:pPr>
                  <w:spacing w:line="240" w:lineRule="auto"/>
                  <w:jc w:val="center"/>
                  <w:rPr>
                    <w:rFonts w:ascii="宋体" w:hAnsi="宋体" w:cs="宋体"/>
                    <w:sz w:val="18"/>
                    <w:szCs w:val="18"/>
                  </w:rPr>
                </w:pPr>
                <w:r>
                  <w:rPr>
                    <w:rFonts w:hint="eastAsia" w:ascii="宋体" w:hAnsi="宋体" w:cs="宋体"/>
                    <w:sz w:val="18"/>
                    <w:szCs w:val="18"/>
                  </w:rPr>
                  <w:t>0.3</w:t>
                </w:r>
                <w:r>
                  <w:rPr>
                    <w:rFonts w:hint="eastAsia" w:ascii="宋体" w:hAnsi="宋体" w:cs="宋体"/>
                    <w:sz w:val="18"/>
                    <w:szCs w:val="18"/>
                    <w:lang w:val="en-US" w:eastAsia="zh-CN"/>
                  </w:rPr>
                  <w:t xml:space="preserve"> </w:t>
                </w:r>
                <w:r>
                  <w:rPr>
                    <w:rFonts w:hint="eastAsia" w:ascii="宋体" w:hAnsi="宋体" w:cs="宋体"/>
                    <w:sz w:val="18"/>
                    <w:szCs w:val="18"/>
                  </w:rPr>
                  <w:t>kg～0.5</w:t>
                </w:r>
                <w:r>
                  <w:rPr>
                    <w:rFonts w:hint="eastAsia"/>
                    <w:lang w:eastAsia="zh-CN"/>
                  </w:rPr>
                  <w:t xml:space="preserve"> </w:t>
                </w:r>
                <w:r>
                  <w:rPr>
                    <w:rFonts w:hint="eastAsia" w:ascii="宋体" w:hAnsi="宋体" w:cs="宋体"/>
                    <w:sz w:val="18"/>
                    <w:szCs w:val="18"/>
                  </w:rPr>
                  <w:t>kg</w:t>
                </w:r>
              </w:p>
            </w:tc>
            <w:tc>
              <w:tcPr>
                <w:tcW w:w="3866" w:type="dxa"/>
                <w:vMerge w:val="continue"/>
                <w:vAlign w:val="center"/>
              </w:tcPr>
              <w:p w14:paraId="21B12276">
                <w:pPr>
                  <w:spacing w:line="240" w:lineRule="auto"/>
                  <w:jc w:val="center"/>
                  <w:rPr>
                    <w:rFonts w:ascii="宋体" w:hAnsi="宋体" w:cs="宋体"/>
                    <w:sz w:val="18"/>
                    <w:szCs w:val="18"/>
                  </w:rPr>
                </w:pPr>
              </w:p>
            </w:tc>
          </w:tr>
          <w:tr w14:paraId="6B2A5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Merge w:val="continue"/>
                <w:vAlign w:val="center"/>
              </w:tcPr>
              <w:p w14:paraId="1183DAA2">
                <w:pPr>
                  <w:spacing w:line="240" w:lineRule="auto"/>
                  <w:jc w:val="center"/>
                  <w:rPr>
                    <w:rFonts w:ascii="宋体" w:hAnsi="宋体" w:cs="宋体"/>
                    <w:sz w:val="18"/>
                    <w:szCs w:val="18"/>
                  </w:rPr>
                </w:pPr>
              </w:p>
            </w:tc>
            <w:tc>
              <w:tcPr>
                <w:tcW w:w="2475" w:type="dxa"/>
                <w:vAlign w:val="center"/>
              </w:tcPr>
              <w:p w14:paraId="0A6733E6">
                <w:pPr>
                  <w:spacing w:line="240" w:lineRule="auto"/>
                  <w:jc w:val="center"/>
                  <w:rPr>
                    <w:rFonts w:ascii="宋体" w:hAnsi="宋体" w:cs="宋体"/>
                    <w:sz w:val="18"/>
                    <w:szCs w:val="18"/>
                  </w:rPr>
                </w:pPr>
                <w:r>
                  <w:rPr>
                    <w:rFonts w:hint="eastAsia" w:ascii="宋体" w:hAnsi="宋体" w:cs="宋体"/>
                    <w:sz w:val="18"/>
                    <w:szCs w:val="18"/>
                  </w:rPr>
                  <w:t>磷酸二氢钾加硝酸铵钙</w:t>
                </w:r>
              </w:p>
            </w:tc>
            <w:tc>
              <w:tcPr>
                <w:tcW w:w="2175" w:type="dxa"/>
                <w:vAlign w:val="center"/>
              </w:tcPr>
              <w:p w14:paraId="343EB720">
                <w:pPr>
                  <w:spacing w:line="240" w:lineRule="auto"/>
                  <w:jc w:val="center"/>
                  <w:rPr>
                    <w:rFonts w:ascii="宋体" w:hAnsi="宋体" w:cs="宋体"/>
                    <w:sz w:val="18"/>
                    <w:szCs w:val="18"/>
                  </w:rPr>
                </w:pPr>
                <w:r>
                  <w:rPr>
                    <w:rFonts w:hint="eastAsia" w:ascii="宋体" w:hAnsi="宋体" w:cs="宋体"/>
                    <w:sz w:val="18"/>
                    <w:szCs w:val="18"/>
                  </w:rPr>
                  <w:t>0.3%</w:t>
                </w:r>
              </w:p>
            </w:tc>
            <w:tc>
              <w:tcPr>
                <w:tcW w:w="3866" w:type="dxa"/>
                <w:vAlign w:val="center"/>
              </w:tcPr>
              <w:p w14:paraId="650425C8">
                <w:pPr>
                  <w:spacing w:line="240" w:lineRule="auto"/>
                  <w:jc w:val="center"/>
                  <w:rPr>
                    <w:rFonts w:ascii="宋体" w:hAnsi="宋体" w:cs="宋体"/>
                    <w:sz w:val="18"/>
                    <w:szCs w:val="18"/>
                  </w:rPr>
                </w:pPr>
                <w:r>
                  <w:rPr>
                    <w:rFonts w:hint="eastAsia" w:ascii="宋体" w:hAnsi="宋体" w:cs="宋体"/>
                    <w:sz w:val="18"/>
                    <w:szCs w:val="18"/>
                  </w:rPr>
                  <w:t>土施上述肥料 10 d～15 d后，叶面喷施 2</w:t>
                </w:r>
                <w:r>
                  <w:rPr>
                    <w:rFonts w:hint="eastAsia"/>
                    <w:lang w:val="en-US" w:eastAsia="zh-CN"/>
                  </w:rPr>
                  <w:t xml:space="preserve"> </w:t>
                </w:r>
                <w:r>
                  <w:rPr>
                    <w:rFonts w:hint="eastAsia" w:ascii="宋体" w:hAnsi="宋体" w:cs="宋体"/>
                    <w:sz w:val="18"/>
                    <w:szCs w:val="18"/>
                  </w:rPr>
                  <w:t>次～3</w:t>
                </w:r>
                <w:r>
                  <w:rPr>
                    <w:rFonts w:hint="eastAsia" w:ascii="宋体" w:hAnsi="宋体" w:cs="宋体"/>
                    <w:sz w:val="18"/>
                    <w:szCs w:val="18"/>
                    <w:lang w:val="en-US" w:eastAsia="zh-CN"/>
                  </w:rPr>
                  <w:t xml:space="preserve"> </w:t>
                </w:r>
                <w:r>
                  <w:rPr>
                    <w:rFonts w:hint="eastAsia" w:ascii="宋体" w:hAnsi="宋体" w:cs="宋体"/>
                    <w:sz w:val="18"/>
                    <w:szCs w:val="18"/>
                  </w:rPr>
                  <w:t>次，于阴天或晴天下午</w:t>
                </w:r>
                <w:r>
                  <w:rPr>
                    <w:rFonts w:hint="eastAsia" w:ascii="宋体" w:hAnsi="宋体" w:cs="宋体"/>
                    <w:sz w:val="18"/>
                    <w:szCs w:val="18"/>
                    <w:lang w:val="en-US" w:eastAsia="zh-CN"/>
                  </w:rPr>
                  <w:t xml:space="preserve"> </w:t>
                </w:r>
                <w:r>
                  <w:rPr>
                    <w:rFonts w:hint="eastAsia" w:ascii="宋体" w:hAnsi="宋体" w:cs="宋体"/>
                    <w:sz w:val="18"/>
                    <w:szCs w:val="18"/>
                  </w:rPr>
                  <w:t>4 h后至傍晚进行。</w:t>
                </w:r>
              </w:p>
            </w:tc>
          </w:tr>
          <w:tr w14:paraId="382F2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Merge w:val="restart"/>
                <w:vAlign w:val="center"/>
              </w:tcPr>
              <w:p w14:paraId="535A438B">
                <w:pPr>
                  <w:spacing w:line="240" w:lineRule="auto"/>
                  <w:jc w:val="center"/>
                  <w:rPr>
                    <w:rFonts w:ascii="宋体" w:hAnsi="宋体" w:cs="宋体"/>
                    <w:sz w:val="18"/>
                    <w:szCs w:val="18"/>
                  </w:rPr>
                </w:pPr>
                <w:r>
                  <w:rPr>
                    <w:rFonts w:hint="eastAsia" w:ascii="宋体" w:hAnsi="宋体" w:cs="宋体"/>
                    <w:sz w:val="18"/>
                    <w:szCs w:val="18"/>
                  </w:rPr>
                  <w:t>采果肥</w:t>
                </w:r>
              </w:p>
            </w:tc>
            <w:tc>
              <w:tcPr>
                <w:tcW w:w="2475" w:type="dxa"/>
                <w:vAlign w:val="center"/>
              </w:tcPr>
              <w:p w14:paraId="48DE1452">
                <w:pPr>
                  <w:spacing w:line="240" w:lineRule="auto"/>
                  <w:jc w:val="center"/>
                  <w:rPr>
                    <w:rFonts w:ascii="宋体" w:hAnsi="宋体" w:cs="宋体"/>
                    <w:sz w:val="18"/>
                    <w:szCs w:val="18"/>
                  </w:rPr>
                </w:pPr>
                <w:r>
                  <w:rPr>
                    <w:rFonts w:hint="eastAsia" w:ascii="宋体" w:hAnsi="宋体" w:cs="宋体"/>
                    <w:sz w:val="18"/>
                    <w:szCs w:val="18"/>
                  </w:rPr>
                  <w:t>复合肥</w:t>
                </w:r>
              </w:p>
            </w:tc>
            <w:tc>
              <w:tcPr>
                <w:tcW w:w="2175" w:type="dxa"/>
                <w:vAlign w:val="center"/>
              </w:tcPr>
              <w:p w14:paraId="0ABE6C0D">
                <w:pPr>
                  <w:spacing w:line="240" w:lineRule="auto"/>
                  <w:jc w:val="center"/>
                  <w:rPr>
                    <w:rFonts w:ascii="宋体" w:hAnsi="宋体" w:cs="宋体"/>
                    <w:sz w:val="18"/>
                    <w:szCs w:val="18"/>
                  </w:rPr>
                </w:pPr>
                <w:r>
                  <w:rPr>
                    <w:rFonts w:hint="eastAsia" w:ascii="宋体" w:hAnsi="宋体" w:cs="宋体"/>
                    <w:sz w:val="18"/>
                    <w:szCs w:val="18"/>
                  </w:rPr>
                  <w:t>0.5</w:t>
                </w:r>
                <w:r>
                  <w:rPr>
                    <w:rFonts w:hint="eastAsia"/>
                    <w:lang w:eastAsia="zh-CN"/>
                  </w:rPr>
                  <w:t xml:space="preserve"> </w:t>
                </w:r>
                <w:r>
                  <w:rPr>
                    <w:rFonts w:hint="eastAsia" w:ascii="宋体" w:hAnsi="宋体" w:cs="宋体"/>
                    <w:sz w:val="18"/>
                    <w:szCs w:val="18"/>
                  </w:rPr>
                  <w:t>kg～1</w:t>
                </w:r>
                <w:r>
                  <w:t> </w:t>
                </w:r>
                <w:r>
                  <w:rPr>
                    <w:rFonts w:hint="eastAsia" w:ascii="宋体" w:hAnsi="宋体" w:cs="宋体"/>
                    <w:sz w:val="18"/>
                    <w:szCs w:val="18"/>
                  </w:rPr>
                  <w:t>kg</w:t>
                </w:r>
              </w:p>
            </w:tc>
            <w:tc>
              <w:tcPr>
                <w:tcW w:w="3866" w:type="dxa"/>
                <w:vAlign w:val="center"/>
              </w:tcPr>
              <w:p w14:paraId="4643F588">
                <w:pPr>
                  <w:spacing w:line="240" w:lineRule="auto"/>
                  <w:jc w:val="center"/>
                  <w:rPr>
                    <w:rFonts w:ascii="宋体" w:hAnsi="宋体" w:cs="宋体"/>
                    <w:sz w:val="18"/>
                    <w:szCs w:val="18"/>
                  </w:rPr>
                </w:pPr>
                <w:r>
                  <w:rPr>
                    <w:rFonts w:hint="eastAsia" w:ascii="宋体" w:hAnsi="宋体" w:cs="宋体"/>
                    <w:sz w:val="18"/>
                    <w:szCs w:val="18"/>
                  </w:rPr>
                  <w:t>采果前沿树冠滴水线开一环形施肥沟，深约 15 cm，宽 20 cm。采果后施入，少量覆土。</w:t>
                </w:r>
              </w:p>
            </w:tc>
          </w:tr>
          <w:tr w14:paraId="63A63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51" w:type="dxa"/>
                <w:vMerge w:val="continue"/>
                <w:vAlign w:val="center"/>
              </w:tcPr>
              <w:p w14:paraId="052485B6">
                <w:pPr>
                  <w:spacing w:line="240" w:lineRule="auto"/>
                  <w:jc w:val="center"/>
                  <w:rPr>
                    <w:rFonts w:ascii="宋体" w:hAnsi="宋体" w:cs="宋体"/>
                    <w:sz w:val="18"/>
                    <w:szCs w:val="18"/>
                  </w:rPr>
                </w:pPr>
              </w:p>
            </w:tc>
            <w:tc>
              <w:tcPr>
                <w:tcW w:w="2475" w:type="dxa"/>
                <w:vAlign w:val="center"/>
              </w:tcPr>
              <w:p w14:paraId="652A52E8">
                <w:pPr>
                  <w:spacing w:line="240" w:lineRule="auto"/>
                  <w:jc w:val="center"/>
                  <w:rPr>
                    <w:rFonts w:ascii="宋体" w:hAnsi="宋体" w:cs="宋体"/>
                    <w:sz w:val="18"/>
                    <w:szCs w:val="18"/>
                  </w:rPr>
                </w:pPr>
                <w:r>
                  <w:rPr>
                    <w:rFonts w:hint="eastAsia" w:ascii="宋体" w:hAnsi="宋体" w:cs="宋体"/>
                    <w:sz w:val="18"/>
                    <w:szCs w:val="18"/>
                  </w:rPr>
                  <w:t>作物秸秆、杂草、绿肥作物等腐熟肥料＋钙镁磷肥</w:t>
                </w:r>
              </w:p>
            </w:tc>
            <w:tc>
              <w:tcPr>
                <w:tcW w:w="2175" w:type="dxa"/>
                <w:vAlign w:val="center"/>
              </w:tcPr>
              <w:p w14:paraId="23BB8C8A">
                <w:pPr>
                  <w:spacing w:line="240" w:lineRule="auto"/>
                  <w:jc w:val="center"/>
                  <w:rPr>
                    <w:rFonts w:ascii="宋体" w:hAnsi="宋体" w:cs="宋体"/>
                    <w:sz w:val="18"/>
                    <w:szCs w:val="18"/>
                  </w:rPr>
                </w:pPr>
                <w:r>
                  <w:rPr>
                    <w:rFonts w:hint="eastAsia" w:ascii="宋体" w:hAnsi="宋体" w:cs="宋体"/>
                    <w:sz w:val="18"/>
                    <w:szCs w:val="18"/>
                  </w:rPr>
                  <w:t>15 kg～25</w:t>
                </w:r>
                <w:r>
                  <w:rPr>
                    <w:rFonts w:hint="eastAsia"/>
                    <w:lang w:eastAsia="zh-CN"/>
                  </w:rPr>
                  <w:t xml:space="preserve"> </w:t>
                </w:r>
                <w:r>
                  <w:rPr>
                    <w:rFonts w:hint="eastAsia" w:ascii="宋体" w:hAnsi="宋体" w:cs="宋体"/>
                    <w:sz w:val="18"/>
                    <w:szCs w:val="18"/>
                  </w:rPr>
                  <w:t>kg＋0.5</w:t>
                </w:r>
                <w:r>
                  <w:rPr>
                    <w:rFonts w:hint="eastAsia"/>
                    <w:lang w:eastAsia="zh-CN"/>
                  </w:rPr>
                  <w:t xml:space="preserve"> </w:t>
                </w:r>
                <w:r>
                  <w:rPr>
                    <w:rFonts w:hint="eastAsia" w:ascii="宋体" w:hAnsi="宋体" w:cs="宋体"/>
                    <w:sz w:val="18"/>
                    <w:szCs w:val="18"/>
                  </w:rPr>
                  <w:t>kg～1</w:t>
                </w:r>
                <w:r>
                  <w:rPr>
                    <w:rFonts w:hint="eastAsia"/>
                    <w:lang w:eastAsia="zh-CN"/>
                  </w:rPr>
                  <w:t xml:space="preserve"> </w:t>
                </w:r>
                <w:r>
                  <w:rPr>
                    <w:rFonts w:hint="eastAsia" w:ascii="宋体" w:hAnsi="宋体" w:cs="宋体"/>
                    <w:sz w:val="18"/>
                    <w:szCs w:val="18"/>
                  </w:rPr>
                  <w:t>kg</w:t>
                </w:r>
              </w:p>
            </w:tc>
            <w:tc>
              <w:tcPr>
                <w:tcW w:w="3866" w:type="dxa"/>
                <w:vAlign w:val="center"/>
              </w:tcPr>
              <w:p w14:paraId="6D0B4014">
                <w:pPr>
                  <w:spacing w:line="240" w:lineRule="auto"/>
                  <w:jc w:val="center"/>
                  <w:rPr>
                    <w:rFonts w:ascii="宋体" w:hAnsi="宋体" w:cs="宋体"/>
                    <w:sz w:val="18"/>
                    <w:szCs w:val="18"/>
                  </w:rPr>
                </w:pPr>
                <w:r>
                  <w:rPr>
                    <w:rFonts w:hint="eastAsia" w:ascii="宋体" w:hAnsi="宋体" w:cs="宋体"/>
                    <w:sz w:val="18"/>
                    <w:szCs w:val="18"/>
                  </w:rPr>
                  <w:t>具体操作见</w:t>
                </w:r>
                <w:r>
                  <w:rPr>
                    <w:rFonts w:hint="eastAsia" w:ascii="宋体" w:hAnsi="宋体" w:cs="宋体"/>
                    <w:sz w:val="18"/>
                    <w:szCs w:val="18"/>
                    <w:lang w:val="en-US" w:eastAsia="zh-CN"/>
                  </w:rPr>
                  <w:t xml:space="preserve"> </w:t>
                </w:r>
                <w:r>
                  <w:rPr>
                    <w:rFonts w:hint="eastAsia" w:ascii="宋体" w:hAnsi="宋体" w:cs="宋体"/>
                    <w:sz w:val="18"/>
                    <w:szCs w:val="18"/>
                  </w:rPr>
                  <w:t>9.2.1.1。</w:t>
                </w:r>
              </w:p>
            </w:tc>
          </w:tr>
        </w:tbl>
        <w:p w14:paraId="7A9BBED2">
          <w:pPr>
            <w:widowControl/>
            <w:spacing w:before="120" w:beforeLines="50" w:after="120" w:afterLines="50" w:line="240" w:lineRule="auto"/>
            <w:jc w:val="left"/>
            <w:outlineLvl w:val="1"/>
            <w:rPr>
              <w:rFonts w:ascii="黑体" w:hAnsi="宋体" w:eastAsia="黑体" w:cs="黑体"/>
              <w:kern w:val="0"/>
              <w:lang w:bidi="ar"/>
            </w:rPr>
          </w:pPr>
          <w:bookmarkStart w:id="129" w:name="_Toc25385"/>
          <w:bookmarkStart w:id="130" w:name="_Toc6468"/>
          <w:r>
            <w:rPr>
              <w:rFonts w:hint="eastAsia" w:ascii="黑体" w:hAnsi="宋体" w:eastAsia="黑体" w:cs="黑体"/>
              <w:kern w:val="0"/>
              <w:lang w:bidi="ar"/>
            </w:rPr>
            <w:t>9.2.3</w:t>
          </w:r>
          <w:r>
            <w:rPr>
              <w:rFonts w:hint="eastAsia" w:ascii="黑体" w:hAnsi="宋体" w:eastAsia="黑体" w:cs="黑体"/>
              <w:kern w:val="0"/>
              <w:lang w:eastAsia="zh-CN" w:bidi="ar"/>
            </w:rPr>
            <w:t xml:space="preserve"> </w:t>
          </w:r>
          <w:r>
            <w:rPr>
              <w:rFonts w:hint="eastAsia" w:ascii="黑体" w:hAnsi="宋体" w:eastAsia="黑体" w:cs="黑体"/>
              <w:kern w:val="0"/>
              <w:lang w:bidi="ar"/>
            </w:rPr>
            <w:t>水分管理</w:t>
          </w:r>
          <w:bookmarkEnd w:id="129"/>
          <w:bookmarkEnd w:id="130"/>
        </w:p>
        <w:p w14:paraId="43F48636">
          <w:pPr>
            <w:pStyle w:val="58"/>
            <w:ind w:firstLine="0" w:firstLineChars="0"/>
          </w:pPr>
          <w:r>
            <w:rPr>
              <w:rFonts w:hint="eastAsia"/>
              <w:lang w:eastAsia="zh-CN"/>
            </w:rPr>
            <w:t xml:space="preserve"> </w:t>
          </w:r>
          <w:r>
            <w:rPr>
              <w:rFonts w:hint="eastAsia"/>
            </w:rPr>
            <w:t>旱季、花果期及时灌水，灌水量以湿透根系主要分布层（</w:t>
          </w:r>
          <w:r>
            <w:t> </w:t>
          </w:r>
          <w:r>
            <w:rPr>
              <w:rFonts w:hint="eastAsia"/>
            </w:rPr>
            <w:t>20</w:t>
          </w:r>
          <w:r>
            <w:rPr>
              <w:rFonts w:hint="eastAsia"/>
              <w:lang w:eastAsia="zh-CN"/>
            </w:rPr>
            <w:t xml:space="preserve"> </w:t>
          </w:r>
          <w:r>
            <w:rPr>
              <w:rFonts w:hint="eastAsia"/>
            </w:rPr>
            <w:t>cm～40</w:t>
          </w:r>
          <w:r>
            <w:rPr>
              <w:rFonts w:hint="eastAsia"/>
              <w:lang w:eastAsia="zh-CN"/>
            </w:rPr>
            <w:t xml:space="preserve"> </w:t>
          </w:r>
          <w:r>
            <w:rPr>
              <w:rFonts w:hint="eastAsia"/>
            </w:rPr>
            <w:t>cm）为限，雨季、台风来临之前，应疏通排水沟，大雨过后应及时检查，排除园中积水。有条件推荐进行水肥一体化管理。</w:t>
          </w:r>
        </w:p>
        <w:p w14:paraId="16CD8C47">
          <w:pPr>
            <w:widowControl/>
            <w:spacing w:before="120" w:beforeLines="50" w:after="120" w:afterLines="50" w:line="240" w:lineRule="auto"/>
            <w:jc w:val="left"/>
            <w:outlineLvl w:val="1"/>
            <w:rPr>
              <w:rFonts w:ascii="黑体" w:hAnsi="宋体" w:eastAsia="黑体" w:cs="黑体"/>
              <w:kern w:val="0"/>
              <w:lang w:bidi="ar"/>
            </w:rPr>
          </w:pPr>
          <w:bookmarkStart w:id="131" w:name="_Toc13967"/>
          <w:bookmarkStart w:id="132" w:name="_Toc24610"/>
          <w:r>
            <w:rPr>
              <w:rFonts w:hint="eastAsia" w:ascii="黑体" w:hAnsi="宋体" w:eastAsia="黑体" w:cs="黑体"/>
              <w:kern w:val="0"/>
              <w:lang w:bidi="ar"/>
            </w:rPr>
            <w:t>9.2.4</w:t>
          </w:r>
          <w:r>
            <w:rPr>
              <w:rFonts w:hint="eastAsia" w:ascii="黑体" w:hAnsi="宋体" w:eastAsia="黑体" w:cs="黑体"/>
              <w:kern w:val="0"/>
              <w:lang w:eastAsia="zh-CN" w:bidi="ar"/>
            </w:rPr>
            <w:t xml:space="preserve"> </w:t>
          </w:r>
          <w:r>
            <w:rPr>
              <w:rFonts w:hint="eastAsia" w:ascii="黑体" w:hAnsi="宋体" w:eastAsia="黑体" w:cs="黑体"/>
              <w:kern w:val="0"/>
              <w:lang w:bidi="ar"/>
            </w:rPr>
            <w:t>树体</w:t>
          </w:r>
          <w:r>
            <w:rPr>
              <w:rFonts w:ascii="黑体" w:hAnsi="宋体" w:eastAsia="黑体" w:cs="黑体"/>
              <w:kern w:val="0"/>
              <w:lang w:bidi="ar"/>
            </w:rPr>
            <w:t>管理</w:t>
          </w:r>
          <w:bookmarkEnd w:id="131"/>
          <w:bookmarkEnd w:id="132"/>
        </w:p>
        <w:p w14:paraId="668B3E48">
          <w:pPr>
            <w:pStyle w:val="58"/>
            <w:ind w:firstLine="420"/>
          </w:pPr>
          <w:r>
            <w:rPr>
              <w:rFonts w:hint="eastAsia"/>
            </w:rPr>
            <w:t>结果树的修剪以剪除枯枝、纤弱枝、病虫枝以及过密枝为主。在采果后，应剪除残留于树干和大枝上的结果枝和雄花枝。修剪的主要时期为冬季、采果后和春季的</w:t>
          </w:r>
          <w:r>
            <w:rPr>
              <w:rFonts w:hint="eastAsia"/>
              <w:lang w:val="en-US" w:eastAsia="zh-CN"/>
            </w:rPr>
            <w:t xml:space="preserve"> </w:t>
          </w:r>
          <w:r>
            <w:rPr>
              <w:rFonts w:hint="eastAsia"/>
            </w:rPr>
            <w:t>2</w:t>
          </w:r>
          <w:r>
            <w:rPr>
              <w:rFonts w:hint="eastAsia"/>
              <w:lang w:val="en-US" w:eastAsia="zh-CN"/>
            </w:rPr>
            <w:t xml:space="preserve"> </w:t>
          </w:r>
          <w:r>
            <w:rPr>
              <w:rFonts w:hint="eastAsia"/>
            </w:rPr>
            <w:t>月～3</w:t>
          </w:r>
          <w:r>
            <w:rPr>
              <w:rFonts w:hint="eastAsia"/>
              <w:lang w:eastAsia="zh-CN"/>
            </w:rPr>
            <w:t xml:space="preserve"> </w:t>
          </w:r>
          <w:r>
            <w:rPr>
              <w:rFonts w:hint="eastAsia"/>
            </w:rPr>
            <w:t>月</w:t>
          </w:r>
          <w:r>
            <w:rPr>
              <w:rFonts w:hint="eastAsia" w:hAnsi="宋体" w:cs="宋体"/>
              <w:szCs w:val="21"/>
              <w:lang w:bidi="ar"/>
            </w:rPr>
            <w:t>。</w:t>
          </w:r>
        </w:p>
        <w:p w14:paraId="06E13CBB">
          <w:pPr>
            <w:widowControl/>
            <w:spacing w:before="120" w:beforeLines="50" w:after="120" w:afterLines="50" w:line="240" w:lineRule="auto"/>
            <w:jc w:val="left"/>
            <w:outlineLvl w:val="1"/>
            <w:rPr>
              <w:rFonts w:ascii="黑体" w:hAnsi="宋体" w:eastAsia="黑体" w:cs="黑体"/>
              <w:kern w:val="0"/>
              <w:lang w:bidi="ar"/>
            </w:rPr>
          </w:pPr>
          <w:bookmarkStart w:id="133" w:name="_Toc32221"/>
          <w:bookmarkStart w:id="134" w:name="_Toc26262"/>
          <w:r>
            <w:rPr>
              <w:rFonts w:hint="eastAsia" w:ascii="黑体" w:hAnsi="宋体" w:eastAsia="黑体" w:cs="黑体"/>
              <w:kern w:val="0"/>
              <w:lang w:bidi="ar"/>
            </w:rPr>
            <w:t>9.2.5</w:t>
          </w:r>
          <w:r>
            <w:rPr>
              <w:rFonts w:hint="eastAsia" w:ascii="黑体" w:hAnsi="宋体" w:eastAsia="黑体" w:cs="黑体"/>
              <w:kern w:val="0"/>
              <w:lang w:eastAsia="zh-CN" w:bidi="ar"/>
            </w:rPr>
            <w:t xml:space="preserve"> </w:t>
          </w:r>
          <w:r>
            <w:rPr>
              <w:rFonts w:hint="eastAsia" w:ascii="黑体" w:hAnsi="宋体" w:eastAsia="黑体" w:cs="黑体"/>
              <w:kern w:val="0"/>
              <w:lang w:bidi="ar"/>
            </w:rPr>
            <w:t>花果管理</w:t>
          </w:r>
          <w:bookmarkEnd w:id="133"/>
          <w:bookmarkEnd w:id="134"/>
        </w:p>
        <w:p w14:paraId="09E38CFB">
          <w:pPr>
            <w:widowControl/>
            <w:spacing w:before="120" w:beforeLines="50" w:after="120" w:afterLines="50" w:line="240" w:lineRule="auto"/>
            <w:jc w:val="left"/>
            <w:outlineLvl w:val="1"/>
            <w:rPr>
              <w:rFonts w:ascii="黑体" w:hAnsi="宋体" w:eastAsia="黑体" w:cs="黑体"/>
              <w:kern w:val="0"/>
              <w:lang w:bidi="ar"/>
            </w:rPr>
          </w:pPr>
          <w:bookmarkStart w:id="135" w:name="_Toc175"/>
          <w:bookmarkStart w:id="136" w:name="_Toc20049"/>
          <w:r>
            <w:rPr>
              <w:rFonts w:hint="eastAsia" w:ascii="黑体" w:hAnsi="宋体" w:eastAsia="黑体" w:cs="黑体"/>
              <w:kern w:val="0"/>
              <w:lang w:bidi="ar"/>
            </w:rPr>
            <w:t>9.2.5.1</w:t>
          </w:r>
          <w:r>
            <w:rPr>
              <w:rFonts w:hint="eastAsia" w:ascii="黑体" w:hAnsi="宋体" w:eastAsia="黑体" w:cs="黑体"/>
              <w:kern w:val="0"/>
              <w:lang w:eastAsia="zh-CN" w:bidi="ar"/>
            </w:rPr>
            <w:t xml:space="preserve"> </w:t>
          </w:r>
          <w:r>
            <w:rPr>
              <w:rFonts w:hint="eastAsia" w:ascii="黑体" w:hAnsi="宋体" w:eastAsia="黑体" w:cs="黑体"/>
              <w:kern w:val="0"/>
              <w:lang w:bidi="ar"/>
            </w:rPr>
            <w:t>疏花</w:t>
          </w:r>
          <w:bookmarkEnd w:id="135"/>
          <w:bookmarkEnd w:id="136"/>
        </w:p>
        <w:p w14:paraId="79A431C0">
          <w:pPr>
            <w:pStyle w:val="58"/>
            <w:ind w:firstLine="420"/>
          </w:pPr>
          <w:r>
            <w:rPr>
              <w:rFonts w:hint="eastAsia"/>
            </w:rPr>
            <w:t>当花量过大时，对密集生长的雌花进行疏花处理。根据植株生长情况和营养水平进行留花，大树壮树多留，每一级分枝上留花量</w:t>
          </w:r>
          <w:r>
            <w:rPr>
              <w:rFonts w:hint="eastAsia"/>
              <w:lang w:eastAsia="zh-CN"/>
            </w:rPr>
            <w:t xml:space="preserve"> </w:t>
          </w:r>
          <w:r>
            <w:rPr>
              <w:rFonts w:hint="eastAsia"/>
            </w:rPr>
            <w:t>4</w:t>
          </w:r>
          <w:r>
            <w:rPr>
              <w:rFonts w:hint="eastAsia"/>
              <w:lang w:val="en-US" w:eastAsia="zh-CN"/>
            </w:rPr>
            <w:t xml:space="preserve"> </w:t>
          </w:r>
          <w:r>
            <w:rPr>
              <w:rFonts w:hint="eastAsia"/>
            </w:rPr>
            <w:t>个～8</w:t>
          </w:r>
          <w:r>
            <w:rPr>
              <w:rFonts w:hint="eastAsia"/>
              <w:lang w:eastAsia="zh-CN"/>
            </w:rPr>
            <w:t xml:space="preserve"> </w:t>
          </w:r>
          <w:r>
            <w:rPr>
              <w:rFonts w:hint="eastAsia"/>
            </w:rPr>
            <w:t>个，小树弱树少留，每一级分枝上留花量</w:t>
          </w:r>
          <w:r>
            <w:rPr>
              <w:rFonts w:hint="eastAsia"/>
              <w:lang w:val="en-US" w:eastAsia="zh-CN"/>
            </w:rPr>
            <w:t xml:space="preserve"> </w:t>
          </w:r>
          <w:r>
            <w:rPr>
              <w:rFonts w:hint="eastAsia"/>
            </w:rPr>
            <w:t>1</w:t>
          </w:r>
          <w:r>
            <w:rPr>
              <w:rFonts w:hint="eastAsia"/>
              <w:lang w:val="en-US" w:eastAsia="zh-CN"/>
            </w:rPr>
            <w:t xml:space="preserve"> </w:t>
          </w:r>
          <w:r>
            <w:rPr>
              <w:rFonts w:hint="eastAsia"/>
            </w:rPr>
            <w:t>个～3</w:t>
          </w:r>
          <w:r>
            <w:rPr>
              <w:rFonts w:hint="eastAsia"/>
              <w:lang w:eastAsia="zh-CN"/>
            </w:rPr>
            <w:t xml:space="preserve"> </w:t>
          </w:r>
          <w:r>
            <w:rPr>
              <w:rFonts w:hint="eastAsia"/>
            </w:rPr>
            <w:t>个。</w:t>
          </w:r>
        </w:p>
        <w:p w14:paraId="2B159846">
          <w:pPr>
            <w:widowControl/>
            <w:spacing w:before="120" w:beforeLines="50" w:after="120" w:afterLines="50" w:line="240" w:lineRule="auto"/>
            <w:jc w:val="left"/>
            <w:outlineLvl w:val="1"/>
            <w:rPr>
              <w:rFonts w:ascii="黑体" w:hAnsi="宋体" w:eastAsia="黑体" w:cs="黑体"/>
              <w:kern w:val="0"/>
              <w:lang w:bidi="ar"/>
            </w:rPr>
          </w:pPr>
          <w:bookmarkStart w:id="137" w:name="_Toc7689"/>
          <w:bookmarkStart w:id="138" w:name="_Toc18445"/>
          <w:r>
            <w:rPr>
              <w:rFonts w:hint="eastAsia" w:ascii="黑体" w:hAnsi="宋体" w:eastAsia="黑体" w:cs="黑体"/>
              <w:kern w:val="0"/>
              <w:lang w:bidi="ar"/>
            </w:rPr>
            <w:t>9.2.5.2</w:t>
          </w:r>
          <w:r>
            <w:rPr>
              <w:rFonts w:hint="eastAsia" w:ascii="黑体" w:hAnsi="宋体" w:eastAsia="黑体" w:cs="黑体"/>
              <w:kern w:val="0"/>
              <w:lang w:eastAsia="zh-CN" w:bidi="ar"/>
            </w:rPr>
            <w:t xml:space="preserve"> </w:t>
          </w:r>
          <w:r>
            <w:rPr>
              <w:rFonts w:hint="eastAsia" w:ascii="黑体" w:hAnsi="宋体" w:eastAsia="黑体" w:cs="黑体"/>
              <w:kern w:val="0"/>
              <w:lang w:bidi="ar"/>
            </w:rPr>
            <w:t>保果</w:t>
          </w:r>
          <w:bookmarkEnd w:id="137"/>
          <w:bookmarkEnd w:id="138"/>
        </w:p>
        <w:p w14:paraId="767F8347">
          <w:pPr>
            <w:pStyle w:val="58"/>
            <w:ind w:firstLine="420"/>
          </w:pPr>
          <w:r>
            <w:rPr>
              <w:rFonts w:hint="eastAsia"/>
            </w:rPr>
            <w:t>在果实发育期，应加强土壤水分管理，保持环境和土壤湿润，使用海藻素、含钙叶面肥和含硼叶面肥，中后期还可施用磷酸二氢钾进行保果。在果实期，及时检查和防治为害果实的病虫害。</w:t>
          </w:r>
        </w:p>
        <w:p w14:paraId="14DC306F">
          <w:pPr>
            <w:widowControl/>
            <w:spacing w:before="120" w:beforeLines="50" w:after="120" w:afterLines="50" w:line="240" w:lineRule="auto"/>
            <w:jc w:val="left"/>
            <w:outlineLvl w:val="1"/>
            <w:rPr>
              <w:rFonts w:ascii="黑体" w:hAnsi="宋体" w:eastAsia="黑体" w:cs="黑体"/>
              <w:kern w:val="0"/>
              <w:lang w:bidi="ar"/>
            </w:rPr>
          </w:pPr>
          <w:bookmarkStart w:id="139" w:name="_Toc7155"/>
          <w:bookmarkStart w:id="140" w:name="_Toc3868"/>
          <w:r>
            <w:rPr>
              <w:rFonts w:hint="eastAsia" w:ascii="黑体" w:hAnsi="宋体" w:eastAsia="黑体" w:cs="黑体"/>
              <w:kern w:val="0"/>
              <w:lang w:bidi="ar"/>
            </w:rPr>
            <w:t>9.2.5.3</w:t>
          </w:r>
          <w:r>
            <w:rPr>
              <w:rFonts w:hint="eastAsia" w:ascii="黑体" w:hAnsi="宋体" w:eastAsia="黑体" w:cs="黑体"/>
              <w:kern w:val="0"/>
              <w:lang w:eastAsia="zh-CN" w:bidi="ar"/>
            </w:rPr>
            <w:t xml:space="preserve"> </w:t>
          </w:r>
          <w:r>
            <w:rPr>
              <w:rFonts w:hint="eastAsia" w:ascii="黑体" w:hAnsi="宋体" w:eastAsia="黑体" w:cs="黑体"/>
              <w:kern w:val="0"/>
              <w:lang w:bidi="ar"/>
            </w:rPr>
            <w:t>疏果</w:t>
          </w:r>
          <w:bookmarkEnd w:id="139"/>
          <w:bookmarkEnd w:id="140"/>
        </w:p>
        <w:p w14:paraId="5E3ACCB1">
          <w:pPr>
            <w:pStyle w:val="58"/>
            <w:ind w:firstLine="420"/>
          </w:pPr>
          <w:r>
            <w:rPr>
              <w:rFonts w:hint="eastAsia"/>
            </w:rPr>
            <w:t>谢花后</w:t>
          </w:r>
          <w:r>
            <w:rPr>
              <w:rFonts w:hint="eastAsia"/>
              <w:lang w:val="en-US" w:eastAsia="zh-CN"/>
            </w:rPr>
            <w:t xml:space="preserve"> </w:t>
          </w:r>
          <w:r>
            <w:rPr>
              <w:rFonts w:hint="eastAsia"/>
            </w:rPr>
            <w:t>1</w:t>
          </w:r>
          <w:r>
            <w:rPr>
              <w:rFonts w:hint="eastAsia"/>
              <w:lang w:val="en-US" w:eastAsia="zh-CN"/>
            </w:rPr>
            <w:t xml:space="preserve"> </w:t>
          </w:r>
          <w:r>
            <w:rPr>
              <w:rFonts w:hint="eastAsia"/>
            </w:rPr>
            <w:t>个月左右，选留授粉受精良好、果柄</w:t>
          </w:r>
          <w:r>
            <w:rPr>
              <w:rFonts w:hint="eastAsia"/>
              <w:lang w:val="en-US" w:eastAsia="zh-CN"/>
            </w:rPr>
            <w:t xml:space="preserve"> </w:t>
          </w:r>
          <w:r>
            <w:rPr>
              <w:rFonts w:hint="eastAsia"/>
            </w:rPr>
            <w:t>4</w:t>
          </w:r>
          <w:r>
            <w:rPr>
              <w:rFonts w:hint="eastAsia"/>
              <w:lang w:val="en-US" w:eastAsia="zh-CN"/>
            </w:rPr>
            <w:t xml:space="preserve"> </w:t>
          </w:r>
          <w:r>
            <w:rPr>
              <w:rFonts w:hint="eastAsia"/>
            </w:rPr>
            <w:t>节内、主要分布在主干和一级分枝上的小果，疏去畸形果、病虫果、小果和过密果，疏去密生果和近地表果；根据植株生长情况和营养水平进行留果，大树壮树多留，每株留果量</w:t>
          </w:r>
          <w:r>
            <w:rPr>
              <w:rFonts w:hint="eastAsia"/>
              <w:lang w:eastAsia="zh-CN"/>
            </w:rPr>
            <w:t xml:space="preserve"> </w:t>
          </w:r>
          <w:r>
            <w:rPr>
              <w:rFonts w:hint="eastAsia"/>
            </w:rPr>
            <w:t>13</w:t>
          </w:r>
          <w:r>
            <w:rPr>
              <w:rFonts w:hint="eastAsia"/>
              <w:lang w:val="en-US" w:eastAsia="zh-CN"/>
            </w:rPr>
            <w:t xml:space="preserve"> </w:t>
          </w:r>
          <w:r>
            <w:rPr>
              <w:rFonts w:hint="eastAsia"/>
            </w:rPr>
            <w:t>个～18</w:t>
          </w:r>
          <w:r>
            <w:rPr>
              <w:rFonts w:hint="eastAsia"/>
              <w:lang w:val="en-US" w:eastAsia="zh-CN"/>
            </w:rPr>
            <w:t xml:space="preserve"> </w:t>
          </w:r>
          <w:r>
            <w:rPr>
              <w:rFonts w:hint="eastAsia"/>
            </w:rPr>
            <w:t>个，小树弱树少留，每株留果量</w:t>
          </w:r>
          <w:r>
            <w:rPr>
              <w:rFonts w:hint="eastAsia"/>
              <w:lang w:val="en-US" w:eastAsia="zh-CN"/>
            </w:rPr>
            <w:t xml:space="preserve"> </w:t>
          </w:r>
          <w:r>
            <w:rPr>
              <w:rFonts w:hint="eastAsia"/>
            </w:rPr>
            <w:t>2</w:t>
          </w:r>
          <w:r>
            <w:rPr>
              <w:rFonts w:hint="eastAsia"/>
              <w:lang w:val="en-US" w:eastAsia="zh-CN"/>
            </w:rPr>
            <w:t xml:space="preserve"> </w:t>
          </w:r>
          <w:r>
            <w:rPr>
              <w:rFonts w:hint="eastAsia"/>
            </w:rPr>
            <w:t>个～8</w:t>
          </w:r>
          <w:r>
            <w:rPr>
              <w:rFonts w:hint="eastAsia"/>
              <w:lang w:eastAsia="zh-CN"/>
            </w:rPr>
            <w:t xml:space="preserve"> </w:t>
          </w:r>
          <w:r>
            <w:rPr>
              <w:rFonts w:hint="eastAsia"/>
            </w:rPr>
            <w:t>个。</w:t>
          </w:r>
        </w:p>
        <w:p w14:paraId="10CB8F40">
          <w:pPr>
            <w:widowControl/>
            <w:spacing w:before="120" w:beforeLines="50" w:after="120" w:afterLines="50" w:line="240" w:lineRule="auto"/>
            <w:jc w:val="left"/>
            <w:outlineLvl w:val="1"/>
            <w:rPr>
              <w:rFonts w:ascii="黑体" w:hAnsi="宋体" w:eastAsia="黑体" w:cs="黑体"/>
              <w:kern w:val="0"/>
              <w:lang w:bidi="ar"/>
            </w:rPr>
          </w:pPr>
          <w:bookmarkStart w:id="141" w:name="_Toc28901"/>
          <w:r>
            <w:rPr>
              <w:rFonts w:hint="eastAsia" w:ascii="黑体" w:hAnsi="宋体" w:eastAsia="黑体" w:cs="黑体"/>
              <w:kern w:val="0"/>
              <w:lang w:bidi="ar"/>
            </w:rPr>
            <w:t>9.2.5.4</w:t>
          </w:r>
          <w:r>
            <w:rPr>
              <w:rFonts w:hint="eastAsia" w:ascii="黑体" w:hAnsi="宋体" w:eastAsia="黑体" w:cs="黑体"/>
              <w:kern w:val="0"/>
              <w:lang w:eastAsia="zh-CN" w:bidi="ar"/>
            </w:rPr>
            <w:t xml:space="preserve"> </w:t>
          </w:r>
          <w:r>
            <w:rPr>
              <w:rFonts w:ascii="黑体" w:hAnsi="宋体" w:eastAsia="黑体" w:cs="黑体"/>
              <w:kern w:val="0"/>
              <w:lang w:bidi="ar"/>
            </w:rPr>
            <w:t>套袋</w:t>
          </w:r>
          <w:bookmarkEnd w:id="141"/>
        </w:p>
        <w:p w14:paraId="6C4341C5">
          <w:pPr>
            <w:pStyle w:val="58"/>
            <w:autoSpaceDE/>
            <w:autoSpaceDN/>
            <w:spacing w:before="120" w:beforeLines="50"/>
            <w:ind w:firstLine="420"/>
          </w:pPr>
          <w:r>
            <w:rPr>
              <w:rFonts w:hint="eastAsia"/>
            </w:rPr>
            <w:t>定果后，小果长至</w:t>
          </w:r>
          <w:r>
            <w:rPr>
              <w:rFonts w:hint="eastAsia"/>
              <w:lang w:eastAsia="zh-CN"/>
            </w:rPr>
            <w:t xml:space="preserve"> </w:t>
          </w:r>
          <w:r>
            <w:rPr>
              <w:rFonts w:hint="eastAsia"/>
            </w:rPr>
            <w:t>1.5 kg～3</w:t>
          </w:r>
          <w:r>
            <w:rPr>
              <w:rFonts w:hint="eastAsia"/>
              <w:lang w:val="en-US" w:eastAsia="zh-CN"/>
            </w:rPr>
            <w:t xml:space="preserve"> </w:t>
          </w:r>
          <w:r>
            <w:rPr>
              <w:rFonts w:hint="eastAsia"/>
            </w:rPr>
            <w:t>kg时进行套袋。采用无纺布或防虫网袋等专用果实袋对果实进行套袋。套袋前果实要用杀虫剂和杀菌剂喷施</w:t>
          </w:r>
          <w:r>
            <w:rPr>
              <w:rFonts w:hint="eastAsia"/>
              <w:lang w:val="en-US" w:eastAsia="zh-CN"/>
            </w:rPr>
            <w:t xml:space="preserve"> </w:t>
          </w:r>
          <w:r>
            <w:rPr>
              <w:rFonts w:hint="eastAsia"/>
            </w:rPr>
            <w:t>1</w:t>
          </w:r>
          <w:r>
            <w:rPr>
              <w:rFonts w:hint="eastAsia"/>
              <w:lang w:val="en-US" w:eastAsia="zh-CN"/>
            </w:rPr>
            <w:t xml:space="preserve"> </w:t>
          </w:r>
          <w:r>
            <w:rPr>
              <w:rFonts w:hint="eastAsia"/>
            </w:rPr>
            <w:t>次，待果上的药液干后再套袋。</w:t>
          </w:r>
        </w:p>
        <w:p w14:paraId="6B3F1342">
          <w:pPr>
            <w:widowControl/>
            <w:spacing w:before="120" w:beforeLines="50" w:after="120" w:afterLines="50" w:line="240" w:lineRule="auto"/>
            <w:jc w:val="left"/>
            <w:outlineLvl w:val="1"/>
            <w:rPr>
              <w:rFonts w:ascii="黑体" w:hAnsi="宋体" w:eastAsia="黑体" w:cs="黑体"/>
              <w:kern w:val="0"/>
              <w:lang w:bidi="ar"/>
            </w:rPr>
          </w:pPr>
          <w:bookmarkStart w:id="142" w:name="_Toc16114"/>
          <w:bookmarkStart w:id="143" w:name="_Toc23956"/>
          <w:r>
            <w:rPr>
              <w:rFonts w:hint="eastAsia" w:ascii="黑体" w:hAnsi="宋体" w:eastAsia="黑体" w:cs="黑体"/>
              <w:kern w:val="0"/>
              <w:lang w:bidi="ar"/>
            </w:rPr>
            <w:t>10</w:t>
          </w:r>
          <w:r>
            <w:rPr>
              <w:rFonts w:hint="eastAsia" w:ascii="黑体" w:hAnsi="宋体" w:eastAsia="黑体" w:cs="黑体"/>
              <w:kern w:val="0"/>
              <w:lang w:eastAsia="zh-CN" w:bidi="ar"/>
            </w:rPr>
            <w:t xml:space="preserve"> </w:t>
          </w:r>
          <w:r>
            <w:rPr>
              <w:rFonts w:hint="eastAsia" w:ascii="黑体" w:hAnsi="宋体" w:eastAsia="黑体" w:cs="黑体"/>
              <w:kern w:val="0"/>
              <w:lang w:bidi="ar"/>
            </w:rPr>
            <w:t>病虫害防控</w:t>
          </w:r>
          <w:bookmarkEnd w:id="142"/>
          <w:bookmarkEnd w:id="143"/>
        </w:p>
        <w:p w14:paraId="6DD2AC02">
          <w:pPr>
            <w:widowControl/>
            <w:spacing w:before="120" w:beforeLines="50" w:after="120" w:afterLines="50" w:line="240" w:lineRule="auto"/>
            <w:jc w:val="left"/>
            <w:outlineLvl w:val="1"/>
            <w:rPr>
              <w:rFonts w:ascii="黑体" w:hAnsi="宋体" w:eastAsia="黑体" w:cs="黑体"/>
              <w:kern w:val="0"/>
              <w:lang w:bidi="ar"/>
            </w:rPr>
          </w:pPr>
          <w:bookmarkStart w:id="144" w:name="_Toc16433"/>
          <w:bookmarkStart w:id="145" w:name="_Toc25551"/>
          <w:r>
            <w:rPr>
              <w:rFonts w:hint="eastAsia" w:ascii="黑体" w:hAnsi="宋体" w:eastAsia="黑体" w:cs="黑体"/>
              <w:kern w:val="0"/>
              <w:lang w:bidi="ar"/>
            </w:rPr>
            <w:t>10.1</w:t>
          </w:r>
          <w:r>
            <w:rPr>
              <w:rFonts w:hint="eastAsia" w:ascii="黑体" w:hAnsi="宋体" w:eastAsia="黑体" w:cs="黑体"/>
              <w:kern w:val="0"/>
              <w:lang w:eastAsia="zh-CN" w:bidi="ar"/>
            </w:rPr>
            <w:t xml:space="preserve"> </w:t>
          </w:r>
          <w:r>
            <w:rPr>
              <w:rFonts w:hint="eastAsia" w:ascii="黑体" w:hAnsi="宋体" w:eastAsia="黑体" w:cs="黑体"/>
              <w:kern w:val="0"/>
              <w:lang w:bidi="ar"/>
            </w:rPr>
            <w:t>主要病虫害</w:t>
          </w:r>
          <w:bookmarkEnd w:id="144"/>
          <w:bookmarkEnd w:id="145"/>
        </w:p>
        <w:p w14:paraId="461DAB42">
          <w:pPr>
            <w:pStyle w:val="58"/>
            <w:ind w:firstLine="420"/>
          </w:pPr>
          <w:r>
            <w:rPr>
              <w:rFonts w:hint="eastAsia"/>
            </w:rPr>
            <w:t>主要病害有</w:t>
          </w:r>
          <w:r>
            <w:rPr>
              <w:rFonts w:ascii="Times New Roman"/>
            </w:rPr>
            <w:t>裂皮病、果锈病、炭疽病、蒂腐病、叶斑病、煤烟病、花果软腐病、红根病、褐根病</w:t>
          </w:r>
          <w:r>
            <w:rPr>
              <w:rFonts w:hint="eastAsia"/>
            </w:rPr>
            <w:t>等；主要虫害有菠萝蜜黄翅绢野螟、实蝇、天牛、丽绿刺蛾、金龟子、绿鳞象甲、蚜虫、吹绵蚧等。</w:t>
          </w:r>
        </w:p>
        <w:p w14:paraId="7B3FD76B">
          <w:pPr>
            <w:widowControl/>
            <w:spacing w:before="120" w:beforeLines="50" w:after="120" w:afterLines="50" w:line="240" w:lineRule="auto"/>
            <w:jc w:val="left"/>
            <w:outlineLvl w:val="1"/>
            <w:rPr>
              <w:rFonts w:ascii="黑体" w:hAnsi="宋体" w:eastAsia="黑体" w:cs="黑体"/>
              <w:kern w:val="0"/>
              <w:lang w:bidi="ar"/>
            </w:rPr>
          </w:pPr>
          <w:bookmarkStart w:id="146" w:name="_Toc32288"/>
          <w:bookmarkStart w:id="147" w:name="_Toc19928"/>
          <w:r>
            <w:rPr>
              <w:rFonts w:hint="eastAsia" w:ascii="黑体" w:hAnsi="宋体" w:eastAsia="黑体" w:cs="黑体"/>
              <w:kern w:val="0"/>
              <w:lang w:bidi="ar"/>
            </w:rPr>
            <w:t>10.2</w:t>
          </w:r>
          <w:r>
            <w:rPr>
              <w:rFonts w:hint="eastAsia" w:ascii="黑体" w:hAnsi="宋体" w:eastAsia="黑体" w:cs="黑体"/>
              <w:kern w:val="0"/>
              <w:lang w:eastAsia="zh-CN" w:bidi="ar"/>
            </w:rPr>
            <w:t xml:space="preserve"> </w:t>
          </w:r>
          <w:r>
            <w:rPr>
              <w:rFonts w:hint="eastAsia" w:ascii="黑体" w:hAnsi="宋体" w:eastAsia="黑体" w:cs="黑体"/>
              <w:kern w:val="0"/>
              <w:lang w:bidi="ar"/>
            </w:rPr>
            <w:t>防治原则</w:t>
          </w:r>
          <w:bookmarkEnd w:id="146"/>
          <w:bookmarkEnd w:id="147"/>
        </w:p>
        <w:p w14:paraId="5B3818E8">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按照“预防为主，综合防治”的植保方针，提倡绿色防控理念，优先采用农业防治、物理防治和生物防治技术。</w:t>
          </w:r>
        </w:p>
        <w:p w14:paraId="122071FF">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48" w:name="_Toc4977"/>
          <w:bookmarkStart w:id="149" w:name="_Toc16207"/>
          <w:r>
            <w:rPr>
              <w:rFonts w:hint="eastAsia" w:ascii="黑体" w:hAnsi="宋体" w:eastAsia="黑体" w:cs="黑体"/>
              <w:color w:val="000000" w:themeColor="text1"/>
              <w:kern w:val="0"/>
              <w:lang w:bidi="ar"/>
              <w14:textFill>
                <w14:solidFill>
                  <w14:schemeClr w14:val="tx1"/>
                </w14:solidFill>
              </w14:textFill>
            </w:rPr>
            <w:t>10.3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农业防治</w:t>
          </w:r>
          <w:bookmarkEnd w:id="148"/>
          <w:bookmarkEnd w:id="149"/>
        </w:p>
        <w:p w14:paraId="01C204D4">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10.3.1</w:t>
          </w:r>
          <w:r>
            <w:rPr>
              <w:rFonts w:hint="eastAsia"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综合运用防护林带、蜜源植物、行间间作或生草栽培等技术，创造有利于果树生长和天敌生存的生态系统。</w:t>
          </w:r>
        </w:p>
        <w:p w14:paraId="0B3FED8B">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10.3.2</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增施充分腐熟的有机肥或生物菌肥，减少化肥施用，创造良好土壤结构，增加树体营养，增强树体抗病能力。</w:t>
          </w:r>
        </w:p>
        <w:p w14:paraId="2E88ADA3">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10.3.3</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优化株行间布局，增加果园通风透光，通过菠萝蜜整形修剪，去除交叉枝、过密枝，适期放梢，使枝梢生长和花果发育的物候期趋于一致，减少害虫的世代交替。</w:t>
          </w:r>
        </w:p>
        <w:p w14:paraId="4C7A2344">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10.3.4</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春季回暖后用生石灰、硫磺粉和水按</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1:1:10</w:t>
          </w:r>
          <w:r>
            <w:rPr>
              <w:rFonts w:hint="eastAsia"/>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的比例配置成涂白剂进行树干涂白，预防腐烂病、溃疡病的发生以及天牛在枝干产卵繁衍。</w:t>
          </w:r>
        </w:p>
        <w:p w14:paraId="04A7C93A">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10.3.5</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及时疏除病虫枝、叶、花、果，集中进行无害化处理，做好冬季清园，减少传染源。</w:t>
          </w:r>
        </w:p>
        <w:p w14:paraId="33DF65E0">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50" w:name="_Toc28645"/>
          <w:bookmarkStart w:id="151" w:name="_Toc9422"/>
          <w:r>
            <w:rPr>
              <w:rFonts w:hint="eastAsia" w:ascii="黑体" w:hAnsi="宋体" w:eastAsia="黑体" w:cs="黑体"/>
              <w:color w:val="000000" w:themeColor="text1"/>
              <w:kern w:val="0"/>
              <w:lang w:bidi="ar"/>
              <w14:textFill>
                <w14:solidFill>
                  <w14:schemeClr w14:val="tx1"/>
                </w14:solidFill>
              </w14:textFill>
            </w:rPr>
            <w:t>10.4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物理防治</w:t>
          </w:r>
          <w:bookmarkEnd w:id="150"/>
          <w:bookmarkEnd w:id="151"/>
        </w:p>
        <w:p w14:paraId="1C5417DF">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10.4.1</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用太阳能诱虫灯、黄色板、蓝色板等诱杀害虫，如在果园内太阳能诱虫灯，按照</w:t>
          </w:r>
          <w:r>
            <w:rPr>
              <w:rFonts w:hint="eastAsia"/>
              <w:color w:val="000000" w:themeColor="text1"/>
              <w:lang w:val="en-US" w:eastAsia="zh-CN"/>
              <w14:textFill>
                <w14:solidFill>
                  <w14:schemeClr w14:val="tx1"/>
                </w14:solidFill>
              </w14:textFill>
            </w:rPr>
            <w:t xml:space="preserve"> 1 </w:t>
          </w:r>
          <w:r>
            <w:rPr>
              <w:rFonts w:hint="eastAsia"/>
              <w:color w:val="000000" w:themeColor="text1"/>
              <w14:textFill>
                <w14:solidFill>
                  <w14:schemeClr w14:val="tx1"/>
                </w14:solidFill>
              </w14:textFill>
            </w:rPr>
            <w:t>公顷～</w:t>
          </w:r>
          <w:r>
            <w:rPr>
              <w:rFonts w:hint="eastAsia"/>
              <w:color w:val="000000" w:themeColor="text1"/>
              <w:lang w:val="en-US" w:eastAsia="zh-CN"/>
              <w14:textFill>
                <w14:solidFill>
                  <w14:schemeClr w14:val="tx1"/>
                </w14:solidFill>
              </w14:textFill>
            </w:rPr>
            <w:t xml:space="preserve">1.34 </w:t>
          </w:r>
          <w:r>
            <w:rPr>
              <w:rFonts w:hint="eastAsia"/>
              <w:color w:val="000000" w:themeColor="text1"/>
              <w14:textFill>
                <w14:solidFill>
                  <w14:schemeClr w14:val="tx1"/>
                </w14:solidFill>
              </w14:textFill>
            </w:rPr>
            <w:t>公顷安装一盏太阳能诱虫灯，具体安装可根据园区地形地貌特征灵活调整，对有趋光性的鳞翅目成虫及天牛成虫进行灯光诱杀。</w:t>
          </w:r>
        </w:p>
        <w:p w14:paraId="61248327">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10.4.2</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人工捕杀，利用金龟子的假死性，通过摇树进行捕杀，对受害果或枝干用铁丝沿孔道钩杀黄翅绢野螟或桑粒肩天牛幼虫，桑粒肩天牛成虫发生高峰期，用利刀或圆凿在枝条分叉卵室处击打虫卵。</w:t>
          </w:r>
        </w:p>
        <w:p w14:paraId="50C85166">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10.4.3</w:t>
          </w:r>
          <w:r>
            <w:rPr>
              <w:rFonts w:hint="eastAsia"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果实套袋，在果实授粉完成后，选用</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50</w:t>
          </w:r>
          <w:r>
            <w:rPr>
              <w:rFonts w:hint="eastAsia"/>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cm×80</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cm、60</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目～80</w:t>
          </w:r>
          <w:r>
            <w:rPr>
              <w:rFonts w:hint="eastAsia"/>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目的尼龙网袋进行果实套袋。</w:t>
          </w:r>
        </w:p>
        <w:p w14:paraId="2FE794EA">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52" w:name="_Toc21535"/>
          <w:bookmarkStart w:id="153" w:name="_Toc184"/>
          <w:r>
            <w:rPr>
              <w:rFonts w:hint="eastAsia" w:ascii="黑体" w:hAnsi="宋体" w:eastAsia="黑体" w:cs="黑体"/>
              <w:color w:val="000000" w:themeColor="text1"/>
              <w:kern w:val="0"/>
              <w:lang w:bidi="ar"/>
              <w14:textFill>
                <w14:solidFill>
                  <w14:schemeClr w14:val="tx1"/>
                </w14:solidFill>
              </w14:textFill>
            </w:rPr>
            <w:t>10.5</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生物防治</w:t>
          </w:r>
          <w:bookmarkEnd w:id="152"/>
          <w:bookmarkEnd w:id="153"/>
        </w:p>
        <w:p w14:paraId="6248AD32">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10.5.1</w:t>
          </w:r>
          <w:r>
            <w:rPr>
              <w:rFonts w:hint="eastAsia"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优先选用苏云金杆菌、白僵菌和绿僵菌制剂以及植物源等生物农药。</w:t>
          </w:r>
        </w:p>
        <w:p w14:paraId="19294F5A">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10.5.2</w:t>
          </w:r>
          <w:r>
            <w:rPr>
              <w:rFonts w:hint="eastAsia"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在害虫发生前期，释放猎蝽、寄生蜂等天敌。</w:t>
          </w:r>
        </w:p>
        <w:p w14:paraId="60D5F0A8">
          <w:pPr>
            <w:pStyle w:val="58"/>
            <w:ind w:firstLine="0" w:firstLineChars="0"/>
            <w:rPr>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10.5.3</w:t>
          </w:r>
          <w:r>
            <w:rPr>
              <w:rFonts w:hint="eastAsia" w:ascii="黑体" w:eastAsia="黑体"/>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保护寄生蜂、草蛉、瓢虫、猎蝽等天敌昆虫，以及蜘蛛、捕食螨、鸟类等有益生物，维持生态平衡。</w:t>
          </w:r>
        </w:p>
        <w:p w14:paraId="0A7E4962">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54" w:name="_Toc30384"/>
          <w:bookmarkStart w:id="155" w:name="_Toc28972"/>
          <w:r>
            <w:rPr>
              <w:rFonts w:hint="eastAsia" w:ascii="黑体" w:hAnsi="宋体" w:eastAsia="黑体" w:cs="黑体"/>
              <w:color w:val="000000" w:themeColor="text1"/>
              <w:kern w:val="0"/>
              <w:lang w:bidi="ar"/>
              <w14:textFill>
                <w14:solidFill>
                  <w14:schemeClr w14:val="tx1"/>
                </w14:solidFill>
              </w14:textFill>
            </w:rPr>
            <w:t>10.6</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药剂防治</w:t>
          </w:r>
          <w:bookmarkEnd w:id="154"/>
          <w:bookmarkEnd w:id="155"/>
        </w:p>
        <w:p w14:paraId="29D1DABE">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当农业防治、物理防治和生物防治无法达到防控效果时，可结合病虫害发生流行规律和预测预报技术，适量使用高效、低毒、低残留的化学农药，使用农药应符合</w:t>
          </w:r>
          <w:r>
            <w:rPr>
              <w:rFonts w:hint="eastAsia"/>
              <w:color w:val="000000" w:themeColor="text1"/>
              <w:lang w:eastAsia="zh-CN"/>
              <w14:textFill>
                <w14:solidFill>
                  <w14:schemeClr w14:val="tx1"/>
                </w14:solidFill>
              </w14:textFill>
            </w:rPr>
            <w:t>GB</w:t>
          </w:r>
          <w:r>
            <w:rPr>
              <w:rFonts w:hint="eastAsia"/>
              <w:color w:val="000000" w:themeColor="text1"/>
              <w14:textFill>
                <w14:solidFill>
                  <w14:schemeClr w14:val="tx1"/>
                </w14:solidFill>
              </w14:textFill>
            </w:rPr>
            <w:t>/T 8321（所有部分）的规定。主要病虫害的药剂防治方法见附录C、附录D，其他病虫害按照</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DB46/T 320</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规定执行。</w:t>
          </w:r>
        </w:p>
        <w:p w14:paraId="72C16FF4">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56" w:name="_Toc13992"/>
          <w:bookmarkStart w:id="157" w:name="_Toc19886"/>
          <w:r>
            <w:rPr>
              <w:rFonts w:hint="eastAsia" w:ascii="黑体" w:hAnsi="宋体" w:eastAsia="黑体" w:cs="黑体"/>
              <w:color w:val="000000" w:themeColor="text1"/>
              <w:kern w:val="0"/>
              <w:lang w:bidi="ar"/>
              <w14:textFill>
                <w14:solidFill>
                  <w14:schemeClr w14:val="tx1"/>
                </w14:solidFill>
              </w14:textFill>
            </w:rPr>
            <w:t>11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采收与商品化处理</w:t>
          </w:r>
          <w:bookmarkEnd w:id="156"/>
          <w:bookmarkEnd w:id="157"/>
        </w:p>
        <w:p w14:paraId="01F0E80B">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58" w:name="_Toc30552"/>
          <w:bookmarkStart w:id="159" w:name="_Toc18262"/>
          <w:r>
            <w:rPr>
              <w:rFonts w:hint="eastAsia" w:ascii="黑体" w:hAnsi="宋体" w:eastAsia="黑体" w:cs="黑体"/>
              <w:color w:val="000000" w:themeColor="text1"/>
              <w:kern w:val="0"/>
              <w:lang w:bidi="ar"/>
              <w14:textFill>
                <w14:solidFill>
                  <w14:schemeClr w14:val="tx1"/>
                </w14:solidFill>
              </w14:textFill>
            </w:rPr>
            <w:t>11.1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采收</w:t>
          </w:r>
          <w:bookmarkEnd w:id="158"/>
          <w:bookmarkEnd w:id="159"/>
        </w:p>
        <w:p w14:paraId="12029FFA">
          <w:pPr>
            <w:pStyle w:val="58"/>
            <w:ind w:firstLine="0" w:firstLineChars="0"/>
            <w:rPr>
              <w:rFonts w:hAnsi="宋体" w:cs="宋体"/>
              <w:color w:val="000000" w:themeColor="text1"/>
              <w14:textFill>
                <w14:solidFill>
                  <w14:schemeClr w14:val="tx1"/>
                </w14:solidFill>
              </w14:textFill>
            </w:rPr>
          </w:pPr>
          <w:bookmarkStart w:id="160" w:name="OLE_LINK1"/>
          <w:r>
            <w:rPr>
              <w:rFonts w:ascii="黑体" w:eastAsia="黑体"/>
              <w:color w:val="000000" w:themeColor="text1"/>
              <w14:textFill>
                <w14:solidFill>
                  <w14:schemeClr w14:val="tx1"/>
                </w14:solidFill>
              </w14:textFill>
            </w:rPr>
            <w:t>1</w:t>
          </w:r>
          <w:r>
            <w:rPr>
              <w:rFonts w:hint="eastAsia" w:ascii="黑体" w:eastAsia="黑体"/>
              <w:color w:val="000000" w:themeColor="text1"/>
              <w14:textFill>
                <w14:solidFill>
                  <w14:schemeClr w14:val="tx1"/>
                </w14:solidFill>
              </w14:textFill>
            </w:rPr>
            <w:t>1</w:t>
          </w:r>
          <w:r>
            <w:rPr>
              <w:rFonts w:ascii="黑体" w:eastAsia="黑体"/>
              <w:color w:val="000000" w:themeColor="text1"/>
              <w14:textFill>
                <w14:solidFill>
                  <w14:schemeClr w14:val="tx1"/>
                </w14:solidFill>
              </w14:textFill>
            </w:rPr>
            <w:t>.1</w:t>
          </w:r>
          <w:r>
            <w:rPr>
              <w:rFonts w:hint="eastAsia" w:ascii="黑体" w:eastAsia="黑体"/>
              <w:color w:val="000000" w:themeColor="text1"/>
              <w14:textFill>
                <w14:solidFill>
                  <w14:schemeClr w14:val="tx1"/>
                </w14:solidFill>
              </w14:textFill>
            </w:rPr>
            <w:t>.1</w:t>
          </w:r>
          <w:bookmarkEnd w:id="160"/>
          <w:r>
            <w:rPr>
              <w:rFonts w:hint="eastAsia" w:ascii="黑体" w:eastAsia="黑体"/>
              <w:color w:val="000000" w:themeColor="text1"/>
              <w:lang w:val="en-US"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据果实成熟度、用途和市场需要进行分期分批采收。</w:t>
          </w:r>
        </w:p>
        <w:p w14:paraId="09BFF339">
          <w:pPr>
            <w:pStyle w:val="58"/>
            <w:ind w:firstLine="0" w:firstLineChars="0"/>
            <w:rPr>
              <w:rFonts w:hAnsi="宋体" w:cs="宋体"/>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11.1.2</w:t>
          </w:r>
          <w:r>
            <w:rPr>
              <w:rFonts w:hint="eastAsia" w:hAnsi="宋体" w:eastAsia="黑体" w:cs="宋体"/>
              <w:color w:val="000000" w:themeColor="text1"/>
              <w:lang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拨果皮瘤峰，脆断无汁流出；利器刺果，无清汁流出；拍击果实，浊音者成熟。</w:t>
          </w:r>
        </w:p>
        <w:p w14:paraId="23E27B12">
          <w:pPr>
            <w:pStyle w:val="58"/>
            <w:ind w:firstLine="0" w:firstLineChars="0"/>
            <w:rPr>
              <w:rFonts w:hAnsi="宋体" w:cs="宋体"/>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11.1.3</w:t>
          </w:r>
          <w:r>
            <w:rPr>
              <w:rFonts w:hint="eastAsia" w:hAnsi="宋体" w:eastAsia="黑体" w:cs="宋体"/>
              <w:color w:val="000000" w:themeColor="text1"/>
              <w:lang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采收时留果柄</w:t>
          </w:r>
          <w:r>
            <w:rPr>
              <w:rFonts w:hint="eastAsia" w:hAnsi="宋体" w:cs="宋体"/>
              <w:color w:val="000000" w:themeColor="text1"/>
              <w:lang w:val="en-US"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10</w:t>
          </w:r>
          <w:r>
            <w:rPr>
              <w:rFonts w:hint="eastAsia" w:hAnsi="宋体" w:cs="宋体"/>
              <w:color w:val="000000" w:themeColor="text1"/>
              <w:lang w:val="en-US"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cm～12</w:t>
          </w:r>
          <w:r>
            <w:rPr>
              <w:rFonts w:hint="eastAsia" w:hAnsi="宋体" w:cs="宋体"/>
              <w:color w:val="000000" w:themeColor="text1"/>
              <w:lang w:val="en-US"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cm排胶，排胶后再留</w:t>
          </w:r>
          <w:r>
            <w:rPr>
              <w:rFonts w:hint="eastAsia"/>
              <w:color w:val="000000" w:themeColor="text1"/>
              <w:lang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2</w:t>
          </w:r>
          <w:r>
            <w:rPr>
              <w:rFonts w:hint="eastAsia"/>
              <w:color w:val="000000" w:themeColor="text1"/>
              <w:lang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cm～3</w:t>
          </w:r>
          <w:r>
            <w:rPr>
              <w:rFonts w:hint="eastAsia"/>
              <w:color w:val="000000" w:themeColor="text1"/>
              <w:lang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cm。</w:t>
          </w:r>
        </w:p>
        <w:p w14:paraId="42981F35">
          <w:pPr>
            <w:pStyle w:val="58"/>
            <w:ind w:firstLine="0" w:firstLineChars="0"/>
            <w:rPr>
              <w:rFonts w:ascii="黑体" w:eastAsia="黑体"/>
              <w:color w:val="000000" w:themeColor="text1"/>
              <w14:textFill>
                <w14:solidFill>
                  <w14:schemeClr w14:val="tx1"/>
                </w14:solidFill>
              </w14:textFill>
            </w:rPr>
          </w:pPr>
          <w:r>
            <w:rPr>
              <w:rFonts w:hint="eastAsia" w:ascii="黑体" w:eastAsia="黑体"/>
              <w:color w:val="000000" w:themeColor="text1"/>
              <w14:textFill>
                <w14:solidFill>
                  <w14:schemeClr w14:val="tx1"/>
                </w14:solidFill>
              </w14:textFill>
            </w:rPr>
            <w:t>11.1.4</w:t>
          </w:r>
          <w:r>
            <w:rPr>
              <w:rFonts w:hint="eastAsia" w:ascii="黑体" w:eastAsia="黑体"/>
              <w:color w:val="000000" w:themeColor="text1"/>
              <w:lang w:eastAsia="zh-CN"/>
              <w14:textFill>
                <w14:solidFill>
                  <w14:schemeClr w14:val="tx1"/>
                </w14:solidFill>
              </w14:textFill>
            </w:rPr>
            <w:t xml:space="preserve"> </w:t>
          </w:r>
          <w:r>
            <w:rPr>
              <w:rFonts w:hint="eastAsia" w:hAnsi="宋体" w:cs="宋体"/>
              <w:color w:val="000000" w:themeColor="text1"/>
              <w14:textFill>
                <w14:solidFill>
                  <w14:schemeClr w14:val="tx1"/>
                </w14:solidFill>
              </w14:textFill>
            </w:rPr>
            <w:t>采收宜选阴天或晴天上午、下午进行，中午烈日或雨天不宜采收。整个采收过程中应轻采、轻放、轻运，避免机械伤。</w:t>
          </w:r>
        </w:p>
        <w:p w14:paraId="60F1FA89">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61" w:name="_Toc28261"/>
          <w:bookmarkStart w:id="162" w:name="_Toc16591"/>
          <w:r>
            <w:rPr>
              <w:rFonts w:hint="eastAsia" w:ascii="黑体" w:hAnsi="宋体" w:eastAsia="黑体" w:cs="黑体"/>
              <w:color w:val="000000" w:themeColor="text1"/>
              <w:kern w:val="0"/>
              <w:lang w:bidi="ar"/>
              <w14:textFill>
                <w14:solidFill>
                  <w14:schemeClr w14:val="tx1"/>
                </w14:solidFill>
              </w14:textFill>
            </w:rPr>
            <w:t>11.2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商品化处理</w:t>
          </w:r>
          <w:bookmarkEnd w:id="161"/>
          <w:bookmarkEnd w:id="162"/>
        </w:p>
        <w:p w14:paraId="3E254225">
          <w:pPr>
            <w:pStyle w:val="58"/>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采收后将果实放置在阴凉处，避免暴晒，并及时对果品进行预冷，一般情况下，12</w:t>
          </w:r>
          <w:r>
            <w:rPr>
              <w:rFonts w:hint="eastAsia"/>
              <w:color w:val="000000" w:themeColor="text1"/>
              <w:lang w:eastAsia="zh-CN"/>
              <w14:textFill>
                <w14:solidFill>
                  <w14:schemeClr w14:val="tx1"/>
                </w14:solidFill>
              </w14:textFill>
            </w:rPr>
            <w:t xml:space="preserve"> </w:t>
          </w:r>
          <w:r>
            <w:rPr>
              <w:rFonts w:hint="eastAsia"/>
              <w:color w:val="000000" w:themeColor="text1"/>
              <w14:textFill>
                <w14:solidFill>
                  <w14:schemeClr w14:val="tx1"/>
                </w14:solidFill>
              </w14:textFill>
            </w:rPr>
            <w:t>h内完成果品的分拣、分级、包装、预冷、保鲜处理。贮运保鲜按照</w:t>
          </w:r>
          <w:r>
            <w:rPr>
              <w:rFonts w:hint="eastAsia"/>
              <w:color w:val="000000" w:themeColor="text1"/>
              <w:lang w:val="en-US" w:eastAsia="zh-CN"/>
              <w14:textFill>
                <w14:solidFill>
                  <w14:schemeClr w14:val="tx1"/>
                </w14:solidFill>
              </w14:textFill>
            </w:rPr>
            <w:t>GB</w:t>
          </w:r>
          <w:r>
            <w:rPr>
              <w:rFonts w:hint="eastAsia"/>
              <w:color w:val="000000" w:themeColor="text1"/>
              <w14:textFill>
                <w14:solidFill>
                  <w14:schemeClr w14:val="tx1"/>
                </w14:solidFill>
              </w14:textFill>
            </w:rPr>
            <w:t>/T 33129</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的规定执行。</w:t>
          </w:r>
        </w:p>
        <w:p w14:paraId="36676041">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63" w:name="_Toc17670"/>
          <w:bookmarkStart w:id="164" w:name="_Toc19797"/>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1.3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果品质量</w:t>
          </w:r>
          <w:bookmarkEnd w:id="163"/>
          <w:bookmarkEnd w:id="164"/>
        </w:p>
        <w:p w14:paraId="36E47D26">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65" w:name="_Toc17308"/>
          <w:bookmarkStart w:id="166" w:name="_Toc19710"/>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1</w:t>
          </w:r>
          <w:r>
            <w:rPr>
              <w:rFonts w:hint="eastAsia" w:ascii="黑体" w:hAnsi="宋体" w:eastAsia="黑体" w:cs="黑体"/>
              <w:color w:val="000000" w:themeColor="text1"/>
              <w:kern w:val="0"/>
              <w:lang w:bidi="ar"/>
              <w14:textFill>
                <w14:solidFill>
                  <w14:schemeClr w14:val="tx1"/>
                </w14:solidFill>
              </w14:textFill>
            </w:rPr>
            <w:t>.</w:t>
          </w:r>
          <w:r>
            <w:rPr>
              <w:rFonts w:hint="eastAsia" w:ascii="黑体" w:hAnsi="宋体" w:eastAsia="黑体" w:cs="黑体"/>
              <w:color w:val="000000" w:themeColor="text1"/>
              <w:kern w:val="0"/>
              <w:lang w:val="en-US" w:eastAsia="zh-CN" w:bidi="ar"/>
              <w14:textFill>
                <w14:solidFill>
                  <w14:schemeClr w14:val="tx1"/>
                </w14:solidFill>
              </w14:textFill>
            </w:rPr>
            <w:t>3.1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基本要求</w:t>
          </w:r>
          <w:bookmarkEnd w:id="165"/>
          <w:bookmarkEnd w:id="166"/>
        </w:p>
        <w:p w14:paraId="76A1E4FB">
          <w:pPr>
            <w:pStyle w:val="58"/>
            <w:ind w:firstLine="420"/>
            <w:rPr>
              <w:rFonts w:ascii="黑体" w:hAnsi="宋体" w:eastAsia="黑体" w:cs="黑体"/>
              <w:color w:val="000000" w:themeColor="text1"/>
              <w:szCs w:val="21"/>
              <w:lang w:bidi="ar"/>
              <w14:textFill>
                <w14:solidFill>
                  <w14:schemeClr w14:val="tx1"/>
                </w14:solidFill>
              </w14:textFill>
            </w:rPr>
          </w:pPr>
          <w:r>
            <w:rPr>
              <w:rFonts w:hint="eastAsia"/>
              <w:color w:val="000000" w:themeColor="text1"/>
              <w:lang w:bidi="ar"/>
              <w14:textFill>
                <w14:solidFill>
                  <w14:schemeClr w14:val="tx1"/>
                </w14:solidFill>
              </w14:textFill>
            </w:rPr>
            <w:t>菠萝蜜鲜果应符合以下基本要求：</w:t>
          </w:r>
        </w:p>
        <w:p w14:paraId="3BDA6AA5">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——果实饱满、硬实，指压略有下陷，有弹性；</w:t>
          </w:r>
        </w:p>
        <w:p w14:paraId="453A005A">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——无明显病虫害，无明显机械损伤；</w:t>
          </w:r>
        </w:p>
        <w:p w14:paraId="5D2C5050">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——果柄长度与菠萝蜜果蒂持平；</w:t>
          </w:r>
        </w:p>
        <w:p w14:paraId="0812022E">
          <w:pPr>
            <w:pStyle w:val="58"/>
            <w:ind w:firstLine="420"/>
            <w:rPr>
              <w:color w:val="000000" w:themeColor="text1"/>
              <w:lang w:bidi="ar"/>
              <w14:textFill>
                <w14:solidFill>
                  <w14:schemeClr w14:val="tx1"/>
                </w14:solidFill>
              </w14:textFill>
            </w:rPr>
          </w:pPr>
          <w:r>
            <w:rPr>
              <w:rFonts w:hint="eastAsia"/>
              <w:color w:val="000000" w:themeColor="text1"/>
              <w:lang w:bidi="ar"/>
              <w14:textFill>
                <w14:solidFill>
                  <w14:schemeClr w14:val="tx1"/>
                </w14:solidFill>
              </w14:textFill>
            </w:rPr>
            <w:t>——果肉无明显锈斑。</w:t>
          </w:r>
        </w:p>
        <w:p w14:paraId="35EA4E84">
          <w:pPr>
            <w:widowControl/>
            <w:spacing w:before="120" w:beforeLines="50" w:after="120" w:afterLines="50" w:line="240" w:lineRule="auto"/>
            <w:jc w:val="left"/>
            <w:outlineLvl w:val="1"/>
            <w:rPr>
              <w:rFonts w:hint="eastAsia" w:ascii="黑体" w:hAnsi="宋体" w:eastAsia="黑体" w:cs="黑体"/>
              <w:color w:val="000000" w:themeColor="text1"/>
              <w:kern w:val="0"/>
              <w:lang w:eastAsia="zh-CN" w:bidi="ar"/>
              <w14:textFill>
                <w14:solidFill>
                  <w14:schemeClr w14:val="tx1"/>
                </w14:solidFill>
              </w14:textFill>
            </w:rPr>
          </w:pPr>
          <w:bookmarkStart w:id="167" w:name="_Toc5097"/>
          <w:bookmarkStart w:id="168" w:name="_Toc14638"/>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1</w:t>
          </w:r>
          <w:r>
            <w:rPr>
              <w:rFonts w:hint="eastAsia" w:ascii="黑体" w:hAnsi="宋体" w:eastAsia="黑体" w:cs="黑体"/>
              <w:color w:val="000000" w:themeColor="text1"/>
              <w:kern w:val="0"/>
              <w:lang w:bidi="ar"/>
              <w14:textFill>
                <w14:solidFill>
                  <w14:schemeClr w14:val="tx1"/>
                </w14:solidFill>
              </w14:textFill>
            </w:rPr>
            <w:t>.</w:t>
          </w:r>
          <w:r>
            <w:rPr>
              <w:rFonts w:hint="eastAsia" w:ascii="黑体" w:hAnsi="宋体" w:eastAsia="黑体" w:cs="黑体"/>
              <w:color w:val="000000" w:themeColor="text1"/>
              <w:kern w:val="0"/>
              <w:lang w:val="en-US" w:eastAsia="zh-CN" w:bidi="ar"/>
              <w14:textFill>
                <w14:solidFill>
                  <w14:schemeClr w14:val="tx1"/>
                </w14:solidFill>
              </w14:textFill>
            </w:rPr>
            <w:t>3.</w:t>
          </w:r>
          <w:r>
            <w:rPr>
              <w:rFonts w:hint="eastAsia" w:ascii="黑体" w:hAnsi="宋体" w:eastAsia="黑体" w:cs="黑体"/>
              <w:color w:val="000000" w:themeColor="text1"/>
              <w:kern w:val="0"/>
              <w:lang w:bidi="ar"/>
              <w14:textFill>
                <w14:solidFill>
                  <w14:schemeClr w14:val="tx1"/>
                </w14:solidFill>
              </w14:textFill>
            </w:rPr>
            <w:t>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等级要求</w:t>
          </w:r>
          <w:bookmarkEnd w:id="167"/>
          <w:bookmarkEnd w:id="168"/>
          <w:r>
            <w:rPr>
              <w:rFonts w:hint="eastAsia" w:ascii="黑体" w:hAnsi="宋体" w:eastAsia="黑体" w:cs="黑体"/>
              <w:color w:val="000000" w:themeColor="text1"/>
              <w:kern w:val="0"/>
              <w:lang w:eastAsia="zh-CN" w:bidi="ar"/>
              <w14:textFill>
                <w14:solidFill>
                  <w14:schemeClr w14:val="tx1"/>
                </w14:solidFill>
              </w14:textFill>
            </w:rPr>
            <w:t xml:space="preserve"> </w:t>
          </w:r>
        </w:p>
        <w:p w14:paraId="78D2F371">
          <w:pPr>
            <w:widowControl/>
            <w:spacing w:line="240" w:lineRule="auto"/>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在符合基本要求的前提下，菠萝蜜分为特级、一级和二级</w:t>
          </w:r>
          <w:r>
            <w:rPr>
              <w:rFonts w:hint="eastAsia" w:ascii="宋体" w:hAnsi="宋体" w:cs="宋体"/>
              <w:color w:val="000000" w:themeColor="text1"/>
              <w:kern w:val="0"/>
              <w:lang w:val="en-US" w:eastAsia="zh-CN" w:bidi="ar"/>
              <w14:textFill>
                <w14:solidFill>
                  <w14:schemeClr w14:val="tx1"/>
                </w14:solidFill>
              </w14:textFill>
            </w:rPr>
            <w:t xml:space="preserve"> </w:t>
          </w:r>
          <w:r>
            <w:rPr>
              <w:rFonts w:hint="eastAsia" w:ascii="宋体" w:hAnsi="宋体" w:cs="宋体"/>
              <w:color w:val="000000" w:themeColor="text1"/>
              <w:kern w:val="0"/>
              <w:lang w:bidi="ar"/>
              <w14:textFill>
                <w14:solidFill>
                  <w14:schemeClr w14:val="tx1"/>
                </w14:solidFill>
              </w14:textFill>
            </w:rPr>
            <w:t>3</w:t>
          </w:r>
          <w:r>
            <w:rPr>
              <w:rFonts w:hint="eastAsia" w:ascii="宋体" w:hAnsi="宋体" w:cs="宋体"/>
              <w:color w:val="000000" w:themeColor="text1"/>
              <w:kern w:val="0"/>
              <w:lang w:val="en-US" w:eastAsia="zh-CN" w:bidi="ar"/>
              <w14:textFill>
                <w14:solidFill>
                  <w14:schemeClr w14:val="tx1"/>
                </w14:solidFill>
              </w14:textFill>
            </w:rPr>
            <w:t xml:space="preserve"> </w:t>
          </w:r>
          <w:r>
            <w:rPr>
              <w:rFonts w:hint="eastAsia" w:ascii="宋体" w:hAnsi="宋体" w:cs="宋体"/>
              <w:color w:val="000000" w:themeColor="text1"/>
              <w:kern w:val="0"/>
              <w:lang w:bidi="ar"/>
              <w14:textFill>
                <w14:solidFill>
                  <w14:schemeClr w14:val="tx1"/>
                </w14:solidFill>
              </w14:textFill>
            </w:rPr>
            <w:t>个等级，果品等级指标符合表</w:t>
          </w:r>
          <w:r>
            <w:rPr>
              <w:rFonts w:hint="eastAsia" w:ascii="宋体" w:hAnsi="宋体" w:cs="宋体"/>
              <w:color w:val="000000" w:themeColor="text1"/>
              <w:kern w:val="0"/>
              <w:lang w:val="en-US" w:eastAsia="zh-CN" w:bidi="ar"/>
              <w14:textFill>
                <w14:solidFill>
                  <w14:schemeClr w14:val="tx1"/>
                </w14:solidFill>
              </w14:textFill>
            </w:rPr>
            <w:t xml:space="preserve"> </w:t>
          </w:r>
          <w:r>
            <w:rPr>
              <w:rFonts w:hint="eastAsia" w:ascii="宋体" w:hAnsi="宋体" w:cs="宋体"/>
              <w:color w:val="000000" w:themeColor="text1"/>
              <w:kern w:val="0"/>
              <w:lang w:bidi="ar"/>
              <w14:textFill>
                <w14:solidFill>
                  <w14:schemeClr w14:val="tx1"/>
                </w14:solidFill>
              </w14:textFill>
            </w:rPr>
            <w:t>3</w:t>
          </w:r>
          <w:r>
            <w:rPr>
              <w:rFonts w:hint="eastAsia" w:ascii="宋体" w:hAnsi="宋体" w:cs="宋体"/>
              <w:color w:val="000000" w:themeColor="text1"/>
              <w:kern w:val="0"/>
              <w:lang w:val="en-US" w:eastAsia="zh-CN" w:bidi="ar"/>
              <w14:textFill>
                <w14:solidFill>
                  <w14:schemeClr w14:val="tx1"/>
                </w14:solidFill>
              </w14:textFill>
            </w:rPr>
            <w:t xml:space="preserve"> </w:t>
          </w:r>
          <w:r>
            <w:rPr>
              <w:rFonts w:hint="eastAsia" w:ascii="宋体" w:hAnsi="宋体" w:cs="宋体"/>
              <w:color w:val="000000" w:themeColor="text1"/>
              <w:kern w:val="0"/>
              <w:lang w:bidi="ar"/>
              <w14:textFill>
                <w14:solidFill>
                  <w14:schemeClr w14:val="tx1"/>
                </w14:solidFill>
              </w14:textFill>
            </w:rPr>
            <w:t>的规定。</w:t>
          </w:r>
        </w:p>
        <w:p w14:paraId="4FD23FEB">
          <w:pPr>
            <w:widowControl/>
            <w:spacing w:before="120" w:beforeLines="50" w:after="120" w:afterLines="50" w:line="240" w:lineRule="auto"/>
            <w:jc w:val="center"/>
            <w:rPr>
              <w:rFonts w:ascii="黑体" w:hAnsi="宋体" w:eastAsia="黑体" w:cs="黑体"/>
              <w:kern w:val="0"/>
              <w:sz w:val="18"/>
              <w:szCs w:val="18"/>
              <w:lang w:bidi="ar"/>
            </w:rPr>
          </w:pPr>
          <w:r>
            <w:rPr>
              <w:rFonts w:ascii="黑体" w:hAnsi="宋体" w:eastAsia="黑体" w:cs="黑体"/>
              <w:kern w:val="0"/>
              <w:sz w:val="20"/>
              <w:szCs w:val="20"/>
              <w:lang w:bidi="ar"/>
            </w:rPr>
            <w:t>表</w:t>
          </w:r>
          <w:r>
            <w:rPr>
              <w:rFonts w:hint="eastAsia" w:ascii="黑体" w:hAnsi="宋体" w:eastAsia="黑体" w:cs="黑体"/>
              <w:kern w:val="0"/>
              <w:sz w:val="20"/>
              <w:szCs w:val="20"/>
              <w:lang w:bidi="ar"/>
            </w:rPr>
            <w:t>3</w:t>
          </w:r>
          <w:r>
            <w:rPr>
              <w:rFonts w:ascii="黑体" w:hAnsi="宋体" w:eastAsia="黑体" w:cs="黑体"/>
              <w:kern w:val="0"/>
              <w:sz w:val="20"/>
              <w:szCs w:val="20"/>
              <w:lang w:bidi="ar"/>
            </w:rPr>
            <w:t xml:space="preserve"> </w:t>
          </w:r>
          <w:r>
            <w:rPr>
              <w:rFonts w:hint="eastAsia" w:ascii="黑体" w:hAnsi="宋体" w:eastAsia="黑体" w:cs="黑体"/>
              <w:kern w:val="0"/>
              <w:sz w:val="20"/>
              <w:szCs w:val="20"/>
              <w:lang w:bidi="ar"/>
            </w:rPr>
            <w:t>果品</w:t>
          </w:r>
          <w:r>
            <w:rPr>
              <w:rFonts w:ascii="黑体" w:hAnsi="宋体" w:eastAsia="黑体" w:cs="黑体"/>
              <w:kern w:val="0"/>
              <w:sz w:val="20"/>
              <w:szCs w:val="20"/>
              <w:lang w:bidi="ar"/>
            </w:rPr>
            <w:t>等级</w:t>
          </w:r>
          <w:r>
            <w:rPr>
              <w:rFonts w:hint="eastAsia" w:ascii="黑体" w:hAnsi="宋体" w:eastAsia="黑体" w:cs="黑体"/>
              <w:kern w:val="0"/>
              <w:sz w:val="20"/>
              <w:szCs w:val="20"/>
              <w:lang w:bidi="ar"/>
            </w:rPr>
            <w:t>指标</w:t>
          </w:r>
        </w:p>
        <w:tbl>
          <w:tblPr>
            <w:tblStyle w:val="28"/>
            <w:tblW w:w="4982" w:type="pct"/>
            <w:tblInd w:w="0" w:type="dxa"/>
            <w:tblLayout w:type="autofit"/>
            <w:tblCellMar>
              <w:top w:w="0" w:type="dxa"/>
              <w:left w:w="108" w:type="dxa"/>
              <w:bottom w:w="0" w:type="dxa"/>
              <w:right w:w="108" w:type="dxa"/>
            </w:tblCellMar>
          </w:tblPr>
          <w:tblGrid>
            <w:gridCol w:w="1215"/>
            <w:gridCol w:w="2455"/>
            <w:gridCol w:w="2791"/>
            <w:gridCol w:w="3075"/>
          </w:tblGrid>
          <w:tr w14:paraId="0CB27D08">
            <w:tblPrEx>
              <w:tblCellMar>
                <w:top w:w="0" w:type="dxa"/>
                <w:left w:w="108" w:type="dxa"/>
                <w:bottom w:w="0" w:type="dxa"/>
                <w:right w:w="108" w:type="dxa"/>
              </w:tblCellMar>
            </w:tblPrEx>
            <w:trPr>
              <w:trHeight w:val="397" w:hRule="atLeast"/>
            </w:trPr>
            <w:tc>
              <w:tcPr>
                <w:tcW w:w="637" w:type="pct"/>
                <w:vMerge w:val="restart"/>
                <w:tcBorders>
                  <w:top w:val="single" w:color="000000" w:sz="4" w:space="0"/>
                  <w:left w:val="single" w:color="000000" w:sz="4" w:space="0"/>
                  <w:right w:val="single" w:color="000000" w:sz="4" w:space="0"/>
                </w:tcBorders>
                <w:vAlign w:val="center"/>
              </w:tcPr>
              <w:p w14:paraId="4FEAFC9A">
                <w:pPr>
                  <w:widowControl/>
                  <w:spacing w:line="240" w:lineRule="auto"/>
                  <w:jc w:val="center"/>
                  <w:textAlignment w:val="center"/>
                  <w:rPr>
                    <w:rFonts w:ascii="宋体" w:hAnsi="宋体" w:cs="宋体"/>
                    <w:sz w:val="18"/>
                    <w:szCs w:val="18"/>
                  </w:rPr>
                </w:pPr>
                <w:r>
                  <w:rPr>
                    <w:rFonts w:ascii="宋体" w:hAnsi="宋体" w:cs="宋体"/>
                    <w:kern w:val="0"/>
                    <w:sz w:val="18"/>
                    <w:szCs w:val="18"/>
                    <w:lang w:bidi="ar"/>
                  </w:rPr>
                  <w:t>项目</w:t>
                </w:r>
              </w:p>
            </w:tc>
            <w:tc>
              <w:tcPr>
                <w:tcW w:w="4362" w:type="pct"/>
                <w:gridSpan w:val="3"/>
                <w:tcBorders>
                  <w:top w:val="single" w:color="000000" w:sz="4" w:space="0"/>
                  <w:left w:val="single" w:color="000000" w:sz="4" w:space="0"/>
                  <w:bottom w:val="single" w:color="000000" w:sz="4" w:space="0"/>
                  <w:right w:val="single" w:color="000000" w:sz="4" w:space="0"/>
                </w:tcBorders>
                <w:vAlign w:val="center"/>
              </w:tcPr>
              <w:p w14:paraId="04E97ECF">
                <w:pPr>
                  <w:widowControl/>
                  <w:spacing w:line="240" w:lineRule="auto"/>
                  <w:jc w:val="center"/>
                  <w:textAlignment w:val="center"/>
                  <w:rPr>
                    <w:rFonts w:ascii="宋体" w:hAnsi="宋体" w:cs="宋体"/>
                    <w:sz w:val="18"/>
                    <w:szCs w:val="18"/>
                  </w:rPr>
                </w:pPr>
                <w:r>
                  <w:rPr>
                    <w:rFonts w:hint="eastAsia" w:ascii="宋体" w:hAnsi="宋体" w:cs="宋体"/>
                    <w:sz w:val="18"/>
                    <w:szCs w:val="18"/>
                  </w:rPr>
                  <w:t>等级</w:t>
                </w:r>
              </w:p>
            </w:tc>
          </w:tr>
          <w:tr w14:paraId="017446F8">
            <w:tblPrEx>
              <w:tblCellMar>
                <w:top w:w="0" w:type="dxa"/>
                <w:left w:w="108" w:type="dxa"/>
                <w:bottom w:w="0" w:type="dxa"/>
                <w:right w:w="108" w:type="dxa"/>
              </w:tblCellMar>
            </w:tblPrEx>
            <w:trPr>
              <w:trHeight w:val="397" w:hRule="atLeast"/>
            </w:trPr>
            <w:tc>
              <w:tcPr>
                <w:tcW w:w="637" w:type="pct"/>
                <w:vMerge w:val="continue"/>
                <w:tcBorders>
                  <w:left w:val="single" w:color="000000" w:sz="4" w:space="0"/>
                  <w:bottom w:val="single" w:color="000000" w:sz="4" w:space="0"/>
                  <w:right w:val="single" w:color="000000" w:sz="4" w:space="0"/>
                </w:tcBorders>
                <w:vAlign w:val="center"/>
              </w:tcPr>
              <w:p w14:paraId="3673475E">
                <w:pPr>
                  <w:widowControl/>
                  <w:spacing w:line="240" w:lineRule="auto"/>
                  <w:jc w:val="center"/>
                  <w:textAlignment w:val="center"/>
                  <w:rPr>
                    <w:rFonts w:ascii="宋体" w:hAnsi="宋体" w:cs="宋体"/>
                    <w:kern w:val="0"/>
                    <w:sz w:val="18"/>
                    <w:szCs w:val="18"/>
                    <w:lang w:bidi="ar"/>
                  </w:rPr>
                </w:pPr>
              </w:p>
            </w:tc>
            <w:tc>
              <w:tcPr>
                <w:tcW w:w="1287" w:type="pct"/>
                <w:tcBorders>
                  <w:top w:val="single" w:color="000000" w:sz="4" w:space="0"/>
                  <w:left w:val="single" w:color="000000" w:sz="4" w:space="0"/>
                  <w:bottom w:val="single" w:color="000000" w:sz="4" w:space="0"/>
                  <w:right w:val="single" w:color="000000" w:sz="4" w:space="0"/>
                </w:tcBorders>
                <w:vAlign w:val="center"/>
              </w:tcPr>
              <w:p w14:paraId="7F85A21C">
                <w:pPr>
                  <w:widowControl/>
                  <w:spacing w:line="240" w:lineRule="auto"/>
                  <w:jc w:val="center"/>
                  <w:textAlignment w:val="center"/>
                  <w:rPr>
                    <w:rFonts w:ascii="宋体" w:hAnsi="宋体" w:cs="宋体"/>
                    <w:sz w:val="18"/>
                    <w:szCs w:val="18"/>
                  </w:rPr>
                </w:pPr>
                <w:r>
                  <w:rPr>
                    <w:rFonts w:hint="eastAsia" w:ascii="宋体" w:hAnsi="宋体" w:cs="宋体"/>
                    <w:kern w:val="0"/>
                    <w:sz w:val="18"/>
                    <w:szCs w:val="18"/>
                    <w:lang w:bidi="ar"/>
                  </w:rPr>
                  <w:t>特级</w:t>
                </w:r>
              </w:p>
            </w:tc>
            <w:tc>
              <w:tcPr>
                <w:tcW w:w="1463" w:type="pct"/>
                <w:tcBorders>
                  <w:top w:val="single" w:color="000000" w:sz="4" w:space="0"/>
                  <w:left w:val="single" w:color="000000" w:sz="4" w:space="0"/>
                  <w:bottom w:val="single" w:color="000000" w:sz="4" w:space="0"/>
                  <w:right w:val="single" w:color="000000" w:sz="4" w:space="0"/>
                </w:tcBorders>
                <w:vAlign w:val="center"/>
              </w:tcPr>
              <w:p w14:paraId="44A8F885">
                <w:pPr>
                  <w:widowControl/>
                  <w:spacing w:line="240" w:lineRule="auto"/>
                  <w:jc w:val="center"/>
                  <w:textAlignment w:val="center"/>
                  <w:rPr>
                    <w:rFonts w:ascii="宋体" w:hAnsi="宋体" w:cs="宋体"/>
                    <w:sz w:val="18"/>
                    <w:szCs w:val="18"/>
                  </w:rPr>
                </w:pPr>
                <w:r>
                  <w:rPr>
                    <w:rFonts w:ascii="宋体" w:hAnsi="宋体" w:cs="宋体"/>
                    <w:kern w:val="0"/>
                    <w:sz w:val="18"/>
                    <w:szCs w:val="18"/>
                    <w:lang w:bidi="ar"/>
                  </w:rPr>
                  <w:t>一</w:t>
                </w:r>
                <w:r>
                  <w:rPr>
                    <w:rFonts w:hint="eastAsia" w:ascii="宋体" w:hAnsi="宋体" w:cs="宋体"/>
                    <w:kern w:val="0"/>
                    <w:sz w:val="18"/>
                    <w:szCs w:val="18"/>
                    <w:lang w:bidi="ar"/>
                  </w:rPr>
                  <w:t>级</w:t>
                </w:r>
              </w:p>
            </w:tc>
            <w:tc>
              <w:tcPr>
                <w:tcW w:w="1612" w:type="pct"/>
                <w:tcBorders>
                  <w:top w:val="single" w:color="000000" w:sz="4" w:space="0"/>
                  <w:left w:val="single" w:color="000000" w:sz="4" w:space="0"/>
                  <w:bottom w:val="single" w:color="000000" w:sz="4" w:space="0"/>
                  <w:right w:val="single" w:color="000000" w:sz="4" w:space="0"/>
                </w:tcBorders>
                <w:vAlign w:val="center"/>
              </w:tcPr>
              <w:p w14:paraId="2152D2F8">
                <w:pPr>
                  <w:widowControl/>
                  <w:spacing w:line="240" w:lineRule="auto"/>
                  <w:jc w:val="center"/>
                  <w:textAlignment w:val="center"/>
                  <w:rPr>
                    <w:rFonts w:ascii="宋体" w:hAnsi="宋体" w:cs="宋体"/>
                    <w:sz w:val="18"/>
                    <w:szCs w:val="18"/>
                  </w:rPr>
                </w:pPr>
                <w:r>
                  <w:rPr>
                    <w:rFonts w:ascii="宋体" w:hAnsi="宋体" w:cs="宋体"/>
                    <w:kern w:val="0"/>
                    <w:sz w:val="18"/>
                    <w:szCs w:val="18"/>
                    <w:lang w:bidi="ar"/>
                  </w:rPr>
                  <w:t>二</w:t>
                </w:r>
                <w:r>
                  <w:rPr>
                    <w:rFonts w:hint="eastAsia" w:ascii="宋体" w:hAnsi="宋体" w:cs="宋体"/>
                    <w:kern w:val="0"/>
                    <w:sz w:val="18"/>
                    <w:szCs w:val="18"/>
                    <w:lang w:bidi="ar"/>
                  </w:rPr>
                  <w:t>级</w:t>
                </w:r>
              </w:p>
            </w:tc>
          </w:tr>
          <w:tr w14:paraId="61A49A50">
            <w:tblPrEx>
              <w:tblCellMar>
                <w:top w:w="0" w:type="dxa"/>
                <w:left w:w="108" w:type="dxa"/>
                <w:bottom w:w="0" w:type="dxa"/>
                <w:right w:w="108" w:type="dxa"/>
              </w:tblCellMar>
            </w:tblPrEx>
            <w:trPr>
              <w:trHeight w:val="397" w:hRule="atLeast"/>
            </w:trPr>
            <w:tc>
              <w:tcPr>
                <w:tcW w:w="637" w:type="pct"/>
                <w:tcBorders>
                  <w:top w:val="single" w:color="000000" w:sz="4" w:space="0"/>
                  <w:left w:val="single" w:color="000000" w:sz="4" w:space="0"/>
                  <w:bottom w:val="single" w:color="000000" w:sz="4" w:space="0"/>
                  <w:right w:val="single" w:color="000000" w:sz="4" w:space="0"/>
                </w:tcBorders>
                <w:vAlign w:val="center"/>
              </w:tcPr>
              <w:p w14:paraId="64D34785">
                <w:pPr>
                  <w:widowControl/>
                  <w:spacing w:line="240" w:lineRule="auto"/>
                  <w:jc w:val="center"/>
                  <w:textAlignment w:val="center"/>
                  <w:rPr>
                    <w:rFonts w:ascii="宋体" w:hAnsi="宋体" w:cs="宋体"/>
                    <w:sz w:val="18"/>
                    <w:szCs w:val="18"/>
                  </w:rPr>
                </w:pPr>
                <w:r>
                  <w:rPr>
                    <w:rFonts w:ascii="宋体" w:hAnsi="宋体" w:cs="宋体"/>
                    <w:kern w:val="0"/>
                    <w:sz w:val="18"/>
                    <w:szCs w:val="18"/>
                    <w:lang w:bidi="ar"/>
                  </w:rPr>
                  <w:t>果形</w:t>
                </w:r>
              </w:p>
            </w:tc>
            <w:tc>
              <w:tcPr>
                <w:tcW w:w="1287" w:type="pct"/>
                <w:tcBorders>
                  <w:top w:val="single" w:color="000000" w:sz="4" w:space="0"/>
                  <w:left w:val="single" w:color="000000" w:sz="4" w:space="0"/>
                  <w:bottom w:val="single" w:color="000000" w:sz="4" w:space="0"/>
                  <w:right w:val="single" w:color="000000" w:sz="4" w:space="0"/>
                </w:tcBorders>
                <w:vAlign w:val="center"/>
              </w:tcPr>
              <w:p w14:paraId="186BB8B3">
                <w:pPr>
                  <w:widowControl/>
                  <w:spacing w:line="240" w:lineRule="auto"/>
                  <w:jc w:val="left"/>
                  <w:textAlignment w:val="center"/>
                  <w:rPr>
                    <w:rFonts w:ascii="宋体" w:hAnsi="宋体" w:cs="宋体"/>
                    <w:sz w:val="18"/>
                    <w:szCs w:val="18"/>
                  </w:rPr>
                </w:pPr>
                <w:r>
                  <w:rPr>
                    <w:rFonts w:ascii="宋体" w:hAnsi="宋体" w:cs="宋体"/>
                    <w:kern w:val="0"/>
                    <w:sz w:val="18"/>
                    <w:szCs w:val="18"/>
                    <w:lang w:bidi="ar"/>
                  </w:rPr>
                  <w:t>果形正常</w:t>
                </w:r>
                <w:r>
                  <w:rPr>
                    <w:rFonts w:hint="eastAsia" w:ascii="宋体" w:hAnsi="宋体" w:cs="宋体"/>
                    <w:kern w:val="0"/>
                    <w:sz w:val="18"/>
                    <w:szCs w:val="18"/>
                    <w:lang w:bidi="ar"/>
                  </w:rPr>
                  <w:t>，大小均匀，</w:t>
                </w:r>
                <w:r>
                  <w:rPr>
                    <w:rFonts w:ascii="宋体" w:hAnsi="宋体" w:cs="宋体"/>
                    <w:kern w:val="0"/>
                    <w:sz w:val="18"/>
                    <w:szCs w:val="18"/>
                    <w:lang w:bidi="ar"/>
                  </w:rPr>
                  <w:t>无畸形果</w:t>
                </w:r>
              </w:p>
            </w:tc>
            <w:tc>
              <w:tcPr>
                <w:tcW w:w="1463" w:type="pct"/>
                <w:tcBorders>
                  <w:top w:val="single" w:color="000000" w:sz="4" w:space="0"/>
                  <w:left w:val="single" w:color="000000" w:sz="4" w:space="0"/>
                  <w:bottom w:val="single" w:color="000000" w:sz="4" w:space="0"/>
                  <w:right w:val="single" w:color="000000" w:sz="4" w:space="0"/>
                </w:tcBorders>
                <w:vAlign w:val="center"/>
              </w:tcPr>
              <w:p w14:paraId="779961DF">
                <w:pPr>
                  <w:widowControl/>
                  <w:spacing w:line="240" w:lineRule="auto"/>
                  <w:jc w:val="left"/>
                  <w:textAlignment w:val="center"/>
                  <w:rPr>
                    <w:rFonts w:ascii="宋体" w:hAnsi="宋体" w:cs="宋体"/>
                    <w:sz w:val="18"/>
                    <w:szCs w:val="18"/>
                  </w:rPr>
                </w:pPr>
                <w:r>
                  <w:rPr>
                    <w:rFonts w:ascii="宋体" w:hAnsi="宋体" w:cs="宋体"/>
                    <w:kern w:val="0"/>
                    <w:sz w:val="18"/>
                    <w:szCs w:val="18"/>
                    <w:lang w:bidi="ar"/>
                  </w:rPr>
                  <w:t>果形正常</w:t>
                </w:r>
                <w:r>
                  <w:rPr>
                    <w:rFonts w:hint="eastAsia" w:ascii="宋体" w:hAnsi="宋体" w:cs="宋体"/>
                    <w:kern w:val="0"/>
                    <w:sz w:val="18"/>
                    <w:szCs w:val="18"/>
                    <w:lang w:bidi="ar"/>
                  </w:rPr>
                  <w:t>，大小较均匀，</w:t>
                </w:r>
                <w:r>
                  <w:rPr>
                    <w:rFonts w:ascii="宋体" w:hAnsi="宋体" w:cs="宋体"/>
                    <w:kern w:val="0"/>
                    <w:sz w:val="18"/>
                    <w:szCs w:val="18"/>
                    <w:lang w:bidi="ar"/>
                  </w:rPr>
                  <w:t>无畸形果</w:t>
                </w:r>
              </w:p>
            </w:tc>
            <w:tc>
              <w:tcPr>
                <w:tcW w:w="1612" w:type="pct"/>
                <w:tcBorders>
                  <w:top w:val="single" w:color="000000" w:sz="4" w:space="0"/>
                  <w:left w:val="single" w:color="000000" w:sz="4" w:space="0"/>
                  <w:bottom w:val="single" w:color="000000" w:sz="4" w:space="0"/>
                  <w:right w:val="single" w:color="000000" w:sz="4" w:space="0"/>
                </w:tcBorders>
                <w:vAlign w:val="center"/>
              </w:tcPr>
              <w:p w14:paraId="524CA6B7">
                <w:pPr>
                  <w:widowControl/>
                  <w:spacing w:line="240" w:lineRule="auto"/>
                  <w:jc w:val="left"/>
                  <w:textAlignment w:val="center"/>
                  <w:rPr>
                    <w:rFonts w:ascii="宋体" w:hAnsi="宋体" w:cs="宋体"/>
                    <w:sz w:val="18"/>
                    <w:szCs w:val="18"/>
                  </w:rPr>
                </w:pPr>
                <w:r>
                  <w:rPr>
                    <w:rStyle w:val="238"/>
                    <w:color w:val="auto"/>
                    <w:sz w:val="18"/>
                    <w:szCs w:val="18"/>
                    <w:lang w:bidi="ar"/>
                  </w:rPr>
                  <w:t>果形正常</w:t>
                </w:r>
                <w:r>
                  <w:rPr>
                    <w:rStyle w:val="238"/>
                    <w:rFonts w:hint="eastAsia"/>
                    <w:color w:val="auto"/>
                    <w:sz w:val="18"/>
                    <w:szCs w:val="18"/>
                    <w:lang w:bidi="ar"/>
                  </w:rPr>
                  <w:t>，</w:t>
                </w:r>
                <w:r>
                  <w:rPr>
                    <w:rFonts w:hint="eastAsia" w:ascii="宋体" w:hAnsi="宋体" w:cs="宋体"/>
                    <w:kern w:val="0"/>
                    <w:sz w:val="18"/>
                    <w:szCs w:val="18"/>
                    <w:lang w:bidi="ar"/>
                  </w:rPr>
                  <w:t>大小较均匀，</w:t>
                </w:r>
                <w:r>
                  <w:rPr>
                    <w:rStyle w:val="238"/>
                    <w:color w:val="auto"/>
                    <w:sz w:val="18"/>
                    <w:szCs w:val="18"/>
                    <w:lang w:bidi="ar"/>
                  </w:rPr>
                  <w:t>允许有轻微缺点</w:t>
                </w:r>
                <w:r>
                  <w:rPr>
                    <w:rStyle w:val="238"/>
                    <w:rFonts w:hint="eastAsia"/>
                    <w:color w:val="auto"/>
                    <w:sz w:val="18"/>
                    <w:szCs w:val="18"/>
                    <w:lang w:bidi="ar"/>
                  </w:rPr>
                  <w:t>，</w:t>
                </w:r>
                <w:r>
                  <w:rPr>
                    <w:rStyle w:val="238"/>
                    <w:color w:val="auto"/>
                    <w:sz w:val="18"/>
                    <w:szCs w:val="18"/>
                    <w:lang w:bidi="ar"/>
                  </w:rPr>
                  <w:t>无畸形果</w:t>
                </w:r>
              </w:p>
            </w:tc>
          </w:tr>
          <w:tr w14:paraId="64C8DDE1">
            <w:tblPrEx>
              <w:tblCellMar>
                <w:top w:w="0" w:type="dxa"/>
                <w:left w:w="108" w:type="dxa"/>
                <w:bottom w:w="0" w:type="dxa"/>
                <w:right w:w="108" w:type="dxa"/>
              </w:tblCellMar>
            </w:tblPrEx>
            <w:trPr>
              <w:trHeight w:val="397" w:hRule="atLeast"/>
            </w:trPr>
            <w:tc>
              <w:tcPr>
                <w:tcW w:w="637" w:type="pct"/>
                <w:tcBorders>
                  <w:top w:val="single" w:color="000000" w:sz="4" w:space="0"/>
                  <w:left w:val="single" w:color="000000" w:sz="4" w:space="0"/>
                  <w:bottom w:val="single" w:color="000000" w:sz="4" w:space="0"/>
                  <w:right w:val="single" w:color="000000" w:sz="4" w:space="0"/>
                </w:tcBorders>
                <w:vAlign w:val="center"/>
              </w:tcPr>
              <w:p w14:paraId="02C0D51E">
                <w:pPr>
                  <w:widowControl/>
                  <w:spacing w:line="240" w:lineRule="auto"/>
                  <w:jc w:val="center"/>
                  <w:textAlignment w:val="center"/>
                  <w:rPr>
                    <w:rFonts w:ascii="宋体" w:hAnsi="宋体" w:cs="宋体"/>
                    <w:sz w:val="18"/>
                    <w:szCs w:val="18"/>
                  </w:rPr>
                </w:pPr>
                <w:r>
                  <w:rPr>
                    <w:rFonts w:ascii="宋体" w:hAnsi="宋体" w:cs="宋体"/>
                    <w:kern w:val="0"/>
                    <w:sz w:val="18"/>
                    <w:szCs w:val="18"/>
                    <w:lang w:bidi="ar"/>
                  </w:rPr>
                  <w:t>色泽</w:t>
                </w:r>
              </w:p>
            </w:tc>
            <w:tc>
              <w:tcPr>
                <w:tcW w:w="1287" w:type="pct"/>
                <w:tcBorders>
                  <w:top w:val="single" w:color="000000" w:sz="4" w:space="0"/>
                  <w:left w:val="single" w:color="000000" w:sz="4" w:space="0"/>
                  <w:bottom w:val="single" w:color="000000" w:sz="4" w:space="0"/>
                  <w:right w:val="single" w:color="000000" w:sz="4" w:space="0"/>
                </w:tcBorders>
                <w:vAlign w:val="center"/>
              </w:tcPr>
              <w:p w14:paraId="3ABCA283">
                <w:pPr>
                  <w:widowControl/>
                  <w:spacing w:line="240" w:lineRule="auto"/>
                  <w:jc w:val="left"/>
                  <w:textAlignment w:val="center"/>
                  <w:rPr>
                    <w:rFonts w:ascii="宋体" w:hAnsi="宋体" w:cs="宋体"/>
                    <w:sz w:val="18"/>
                    <w:szCs w:val="18"/>
                  </w:rPr>
                </w:pPr>
                <w:r>
                  <w:rPr>
                    <w:rStyle w:val="238"/>
                    <w:color w:val="auto"/>
                    <w:sz w:val="18"/>
                    <w:szCs w:val="18"/>
                    <w:lang w:bidi="ar"/>
                  </w:rPr>
                  <w:t>具有该品种固有色泽</w:t>
                </w:r>
                <w:r>
                  <w:rPr>
                    <w:rStyle w:val="238"/>
                    <w:rFonts w:hint="eastAsia"/>
                    <w:color w:val="auto"/>
                    <w:sz w:val="18"/>
                    <w:szCs w:val="18"/>
                    <w:lang w:bidi="ar"/>
                  </w:rPr>
                  <w:t>，无色变，</w:t>
                </w:r>
                <w:r>
                  <w:rPr>
                    <w:rStyle w:val="238"/>
                    <w:color w:val="auto"/>
                    <w:sz w:val="18"/>
                    <w:szCs w:val="18"/>
                    <w:lang w:bidi="ar"/>
                  </w:rPr>
                  <w:t>无褐斑</w:t>
                </w:r>
              </w:p>
            </w:tc>
            <w:tc>
              <w:tcPr>
                <w:tcW w:w="1463" w:type="pct"/>
                <w:tcBorders>
                  <w:top w:val="single" w:color="000000" w:sz="4" w:space="0"/>
                  <w:left w:val="single" w:color="000000" w:sz="4" w:space="0"/>
                  <w:bottom w:val="single" w:color="000000" w:sz="4" w:space="0"/>
                  <w:right w:val="single" w:color="000000" w:sz="4" w:space="0"/>
                </w:tcBorders>
                <w:vAlign w:val="center"/>
              </w:tcPr>
              <w:p w14:paraId="71B3416C">
                <w:pPr>
                  <w:widowControl/>
                  <w:spacing w:line="240" w:lineRule="auto"/>
                  <w:jc w:val="left"/>
                  <w:textAlignment w:val="center"/>
                  <w:rPr>
                    <w:rFonts w:ascii="宋体" w:hAnsi="宋体" w:cs="宋体"/>
                    <w:sz w:val="18"/>
                    <w:szCs w:val="18"/>
                  </w:rPr>
                </w:pPr>
                <w:r>
                  <w:rPr>
                    <w:rStyle w:val="238"/>
                    <w:color w:val="auto"/>
                    <w:sz w:val="18"/>
                    <w:szCs w:val="18"/>
                    <w:lang w:bidi="ar"/>
                  </w:rPr>
                  <w:t>具有该品种固有色泽</w:t>
                </w:r>
                <w:r>
                  <w:rPr>
                    <w:rStyle w:val="238"/>
                    <w:rFonts w:hint="eastAsia"/>
                    <w:color w:val="auto"/>
                    <w:sz w:val="18"/>
                    <w:szCs w:val="18"/>
                    <w:lang w:bidi="ar"/>
                  </w:rPr>
                  <w:t>，无色变，</w:t>
                </w:r>
                <w:r>
                  <w:rPr>
                    <w:rStyle w:val="238"/>
                    <w:color w:val="auto"/>
                    <w:sz w:val="18"/>
                    <w:szCs w:val="18"/>
                    <w:lang w:bidi="ar"/>
                  </w:rPr>
                  <w:t>基本无褐斑</w:t>
                </w:r>
              </w:p>
            </w:tc>
            <w:tc>
              <w:tcPr>
                <w:tcW w:w="1612" w:type="pct"/>
                <w:tcBorders>
                  <w:top w:val="single" w:color="000000" w:sz="4" w:space="0"/>
                  <w:left w:val="single" w:color="000000" w:sz="4" w:space="0"/>
                  <w:bottom w:val="single" w:color="000000" w:sz="4" w:space="0"/>
                  <w:right w:val="single" w:color="000000" w:sz="4" w:space="0"/>
                </w:tcBorders>
                <w:vAlign w:val="center"/>
              </w:tcPr>
              <w:p w14:paraId="04E1C82B">
                <w:pPr>
                  <w:widowControl/>
                  <w:spacing w:line="240" w:lineRule="auto"/>
                  <w:jc w:val="left"/>
                  <w:textAlignment w:val="center"/>
                  <w:rPr>
                    <w:rFonts w:ascii="宋体" w:hAnsi="宋体" w:cs="宋体"/>
                    <w:sz w:val="18"/>
                    <w:szCs w:val="18"/>
                  </w:rPr>
                </w:pPr>
                <w:r>
                  <w:rPr>
                    <w:rStyle w:val="238"/>
                    <w:color w:val="auto"/>
                    <w:sz w:val="18"/>
                    <w:szCs w:val="18"/>
                    <w:lang w:bidi="ar"/>
                  </w:rPr>
                  <w:t>具有该品种固有色泽</w:t>
                </w:r>
                <w:r>
                  <w:rPr>
                    <w:rStyle w:val="238"/>
                    <w:rFonts w:hint="eastAsia"/>
                    <w:color w:val="auto"/>
                    <w:sz w:val="18"/>
                    <w:szCs w:val="18"/>
                    <w:lang w:bidi="ar"/>
                  </w:rPr>
                  <w:t>，基本无色变，</w:t>
                </w:r>
                <w:r>
                  <w:rPr>
                    <w:rStyle w:val="238"/>
                    <w:color w:val="auto"/>
                    <w:sz w:val="18"/>
                    <w:szCs w:val="18"/>
                    <w:lang w:bidi="ar"/>
                  </w:rPr>
                  <w:t>有轻微褐斑</w:t>
                </w:r>
              </w:p>
            </w:tc>
          </w:tr>
          <w:tr w14:paraId="3B58BC31">
            <w:tblPrEx>
              <w:tblCellMar>
                <w:top w:w="0" w:type="dxa"/>
                <w:left w:w="108" w:type="dxa"/>
                <w:bottom w:w="0" w:type="dxa"/>
                <w:right w:w="108" w:type="dxa"/>
              </w:tblCellMar>
            </w:tblPrEx>
            <w:trPr>
              <w:trHeight w:val="397" w:hRule="atLeast"/>
            </w:trPr>
            <w:tc>
              <w:tcPr>
                <w:tcW w:w="637" w:type="pct"/>
                <w:tcBorders>
                  <w:top w:val="single" w:color="000000" w:sz="4" w:space="0"/>
                  <w:left w:val="single" w:color="000000" w:sz="4" w:space="0"/>
                  <w:bottom w:val="single" w:color="000000" w:sz="4" w:space="0"/>
                  <w:right w:val="single" w:color="000000" w:sz="4" w:space="0"/>
                </w:tcBorders>
                <w:vAlign w:val="center"/>
              </w:tcPr>
              <w:p w14:paraId="08F4ECCA">
                <w:pPr>
                  <w:widowControl/>
                  <w:spacing w:line="240" w:lineRule="auto"/>
                  <w:jc w:val="center"/>
                  <w:textAlignment w:val="center"/>
                  <w:rPr>
                    <w:rFonts w:ascii="宋体" w:hAnsi="宋体" w:cs="宋体"/>
                    <w:sz w:val="18"/>
                    <w:szCs w:val="18"/>
                  </w:rPr>
                </w:pPr>
                <w:r>
                  <w:rPr>
                    <w:rFonts w:ascii="宋体" w:hAnsi="宋体" w:cs="宋体"/>
                    <w:kern w:val="0"/>
                    <w:sz w:val="18"/>
                    <w:szCs w:val="18"/>
                    <w:lang w:bidi="ar"/>
                  </w:rPr>
                  <w:t>果面缺陷</w:t>
                </w:r>
              </w:p>
            </w:tc>
            <w:tc>
              <w:tcPr>
                <w:tcW w:w="1287" w:type="pct"/>
                <w:tcBorders>
                  <w:top w:val="single" w:color="000000" w:sz="4" w:space="0"/>
                  <w:left w:val="single" w:color="000000" w:sz="4" w:space="0"/>
                  <w:bottom w:val="single" w:color="000000" w:sz="4" w:space="0"/>
                  <w:right w:val="single" w:color="000000" w:sz="4" w:space="0"/>
                </w:tcBorders>
                <w:vAlign w:val="center"/>
              </w:tcPr>
              <w:p w14:paraId="372CB203">
                <w:pPr>
                  <w:widowControl/>
                  <w:spacing w:line="240" w:lineRule="auto"/>
                  <w:jc w:val="left"/>
                  <w:textAlignment w:val="center"/>
                  <w:rPr>
                    <w:rFonts w:ascii="宋体" w:hAnsi="宋体" w:cs="宋体"/>
                    <w:sz w:val="18"/>
                    <w:szCs w:val="18"/>
                  </w:rPr>
                </w:pPr>
                <w:r>
                  <w:rPr>
                    <w:rStyle w:val="238"/>
                    <w:color w:val="auto"/>
                    <w:sz w:val="18"/>
                    <w:szCs w:val="18"/>
                    <w:lang w:bidi="ar"/>
                  </w:rPr>
                  <w:t>无裂果、病虫害、机械伤</w:t>
                </w:r>
              </w:p>
            </w:tc>
            <w:tc>
              <w:tcPr>
                <w:tcW w:w="1463" w:type="pct"/>
                <w:tcBorders>
                  <w:top w:val="single" w:color="000000" w:sz="4" w:space="0"/>
                  <w:left w:val="single" w:color="000000" w:sz="4" w:space="0"/>
                  <w:bottom w:val="single" w:color="000000" w:sz="4" w:space="0"/>
                  <w:right w:val="single" w:color="000000" w:sz="4" w:space="0"/>
                </w:tcBorders>
                <w:vAlign w:val="center"/>
              </w:tcPr>
              <w:p w14:paraId="48B5F282">
                <w:pPr>
                  <w:widowControl/>
                  <w:spacing w:line="240" w:lineRule="auto"/>
                  <w:jc w:val="left"/>
                  <w:textAlignment w:val="center"/>
                  <w:rPr>
                    <w:rFonts w:ascii="宋体" w:hAnsi="宋体" w:cs="宋体"/>
                    <w:sz w:val="18"/>
                    <w:szCs w:val="18"/>
                  </w:rPr>
                </w:pPr>
                <w:r>
                  <w:rPr>
                    <w:rStyle w:val="238"/>
                    <w:color w:val="auto"/>
                    <w:sz w:val="18"/>
                    <w:szCs w:val="18"/>
                    <w:lang w:bidi="ar"/>
                  </w:rPr>
                  <w:t>无裂果、病虫害、机械伤</w:t>
                </w:r>
                <w:r>
                  <w:rPr>
                    <w:rStyle w:val="238"/>
                    <w:rFonts w:hint="eastAsia"/>
                    <w:color w:val="auto"/>
                    <w:sz w:val="18"/>
                    <w:szCs w:val="18"/>
                    <w:lang w:bidi="ar"/>
                  </w:rPr>
                  <w:t>，一般缺陷果＜3%</w:t>
                </w:r>
              </w:p>
            </w:tc>
            <w:tc>
              <w:tcPr>
                <w:tcW w:w="1612" w:type="pct"/>
                <w:tcBorders>
                  <w:top w:val="single" w:color="000000" w:sz="4" w:space="0"/>
                  <w:left w:val="single" w:color="000000" w:sz="4" w:space="0"/>
                  <w:bottom w:val="single" w:color="000000" w:sz="4" w:space="0"/>
                  <w:right w:val="single" w:color="000000" w:sz="4" w:space="0"/>
                </w:tcBorders>
                <w:vAlign w:val="center"/>
              </w:tcPr>
              <w:p w14:paraId="072541C4">
                <w:pPr>
                  <w:widowControl/>
                  <w:spacing w:line="240" w:lineRule="auto"/>
                  <w:jc w:val="left"/>
                  <w:textAlignment w:val="center"/>
                  <w:rPr>
                    <w:rFonts w:ascii="宋体" w:hAnsi="宋体" w:cs="宋体"/>
                    <w:sz w:val="18"/>
                    <w:szCs w:val="18"/>
                  </w:rPr>
                </w:pPr>
                <w:r>
                  <w:rPr>
                    <w:rStyle w:val="238"/>
                    <w:color w:val="auto"/>
                    <w:sz w:val="18"/>
                    <w:szCs w:val="18"/>
                    <w:lang w:bidi="ar"/>
                  </w:rPr>
                  <w:t>无裂果、病虫害</w:t>
                </w:r>
                <w:r>
                  <w:rPr>
                    <w:rStyle w:val="238"/>
                    <w:rFonts w:hint="eastAsia"/>
                    <w:color w:val="auto"/>
                    <w:sz w:val="18"/>
                    <w:szCs w:val="18"/>
                    <w:lang w:bidi="ar"/>
                  </w:rPr>
                  <w:t>，</w:t>
                </w:r>
                <w:r>
                  <w:rPr>
                    <w:rStyle w:val="238"/>
                    <w:color w:val="auto"/>
                    <w:sz w:val="18"/>
                    <w:szCs w:val="18"/>
                    <w:lang w:bidi="ar"/>
                  </w:rPr>
                  <w:t>允许有轻微机械伤和轻微形变</w:t>
                </w:r>
                <w:r>
                  <w:rPr>
                    <w:rStyle w:val="238"/>
                    <w:rFonts w:hint="eastAsia"/>
                    <w:color w:val="auto"/>
                    <w:sz w:val="18"/>
                    <w:szCs w:val="18"/>
                    <w:lang w:bidi="ar"/>
                  </w:rPr>
                  <w:t>，一般缺陷果和严重缺陷果合计＜8%，其中严重缺陷果＜3%</w:t>
                </w:r>
              </w:p>
            </w:tc>
          </w:tr>
          <w:tr w14:paraId="40740677">
            <w:tblPrEx>
              <w:tblCellMar>
                <w:top w:w="0" w:type="dxa"/>
                <w:left w:w="108" w:type="dxa"/>
                <w:bottom w:w="0" w:type="dxa"/>
                <w:right w:w="108" w:type="dxa"/>
              </w:tblCellMar>
            </w:tblPrEx>
            <w:trPr>
              <w:trHeight w:val="397" w:hRule="atLeast"/>
            </w:trPr>
            <w:tc>
              <w:tcPr>
                <w:tcW w:w="637" w:type="pct"/>
                <w:tcBorders>
                  <w:top w:val="single" w:color="000000" w:sz="4" w:space="0"/>
                  <w:left w:val="single" w:color="000000" w:sz="4" w:space="0"/>
                  <w:bottom w:val="single" w:color="000000" w:sz="4" w:space="0"/>
                  <w:right w:val="single" w:color="000000" w:sz="4" w:space="0"/>
                </w:tcBorders>
                <w:vAlign w:val="center"/>
              </w:tcPr>
              <w:p w14:paraId="56388249">
                <w:pPr>
                  <w:widowControl/>
                  <w:spacing w:line="240" w:lineRule="auto"/>
                  <w:jc w:val="center"/>
                  <w:textAlignment w:val="center"/>
                  <w:rPr>
                    <w:rFonts w:ascii="宋体" w:hAnsi="宋体" w:cs="宋体"/>
                    <w:kern w:val="0"/>
                    <w:sz w:val="18"/>
                    <w:szCs w:val="18"/>
                    <w:lang w:bidi="ar"/>
                  </w:rPr>
                </w:pPr>
                <w:bookmarkStart w:id="169" w:name="_Toc23093"/>
                <w:r>
                  <w:rPr>
                    <w:rFonts w:hint="eastAsia" w:ascii="宋体" w:hAnsi="宋体" w:cs="宋体"/>
                    <w:kern w:val="0"/>
                    <w:sz w:val="18"/>
                    <w:szCs w:val="18"/>
                    <w:lang w:bidi="ar"/>
                  </w:rPr>
                  <w:t>可食率，%</w:t>
                </w:r>
              </w:p>
            </w:tc>
            <w:tc>
              <w:tcPr>
                <w:tcW w:w="1287" w:type="pct"/>
                <w:tcBorders>
                  <w:top w:val="single" w:color="000000" w:sz="4" w:space="0"/>
                  <w:left w:val="single" w:color="000000" w:sz="4" w:space="0"/>
                  <w:bottom w:val="single" w:color="000000" w:sz="4" w:space="0"/>
                  <w:right w:val="single" w:color="000000" w:sz="4" w:space="0"/>
                </w:tcBorders>
                <w:vAlign w:val="center"/>
              </w:tcPr>
              <w:p w14:paraId="50EB063B">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w:t>
                </w:r>
                <w:r>
                  <w:rPr>
                    <w:rStyle w:val="238"/>
                    <w:rFonts w:hint="eastAsia"/>
                    <w:color w:val="auto"/>
                    <w:sz w:val="18"/>
                    <w:szCs w:val="18"/>
                    <w:lang w:val="en-US" w:eastAsia="zh-CN" w:bidi="ar"/>
                  </w:rPr>
                  <w:t xml:space="preserve"> </w:t>
                </w:r>
                <w:r>
                  <w:rPr>
                    <w:rStyle w:val="238"/>
                    <w:rFonts w:hint="eastAsia"/>
                    <w:color w:val="auto"/>
                    <w:sz w:val="18"/>
                    <w:szCs w:val="18"/>
                    <w:lang w:bidi="ar"/>
                  </w:rPr>
                  <w:t>38%</w:t>
                </w:r>
              </w:p>
            </w:tc>
            <w:tc>
              <w:tcPr>
                <w:tcW w:w="1463" w:type="pct"/>
                <w:tcBorders>
                  <w:top w:val="single" w:color="000000" w:sz="4" w:space="0"/>
                  <w:left w:val="single" w:color="000000" w:sz="4" w:space="0"/>
                  <w:bottom w:val="single" w:color="000000" w:sz="4" w:space="0"/>
                  <w:right w:val="single" w:color="000000" w:sz="4" w:space="0"/>
                </w:tcBorders>
                <w:vAlign w:val="center"/>
              </w:tcPr>
              <w:p w14:paraId="635AEBDC">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w:t>
                </w:r>
                <w:r>
                  <w:rPr>
                    <w:rStyle w:val="238"/>
                    <w:rFonts w:hint="eastAsia"/>
                    <w:color w:val="auto"/>
                    <w:sz w:val="18"/>
                    <w:szCs w:val="18"/>
                    <w:lang w:val="en-US" w:eastAsia="zh-CN" w:bidi="ar"/>
                  </w:rPr>
                  <w:t xml:space="preserve"> </w:t>
                </w:r>
                <w:r>
                  <w:rPr>
                    <w:rStyle w:val="238"/>
                    <w:rFonts w:hint="eastAsia"/>
                    <w:color w:val="auto"/>
                    <w:sz w:val="18"/>
                    <w:szCs w:val="18"/>
                    <w:lang w:bidi="ar"/>
                  </w:rPr>
                  <w:t>36%</w:t>
                </w:r>
              </w:p>
            </w:tc>
            <w:tc>
              <w:tcPr>
                <w:tcW w:w="1612" w:type="pct"/>
                <w:tcBorders>
                  <w:top w:val="single" w:color="000000" w:sz="4" w:space="0"/>
                  <w:left w:val="single" w:color="000000" w:sz="4" w:space="0"/>
                  <w:bottom w:val="single" w:color="000000" w:sz="4" w:space="0"/>
                  <w:right w:val="single" w:color="000000" w:sz="4" w:space="0"/>
                </w:tcBorders>
                <w:vAlign w:val="center"/>
              </w:tcPr>
              <w:p w14:paraId="32173C60">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w:t>
                </w:r>
                <w:r>
                  <w:rPr>
                    <w:rStyle w:val="238"/>
                    <w:rFonts w:hint="eastAsia"/>
                    <w:color w:val="auto"/>
                    <w:sz w:val="18"/>
                    <w:szCs w:val="18"/>
                    <w:lang w:val="en-US" w:eastAsia="zh-CN" w:bidi="ar"/>
                  </w:rPr>
                  <w:t xml:space="preserve"> </w:t>
                </w:r>
                <w:r>
                  <w:rPr>
                    <w:rStyle w:val="238"/>
                    <w:rFonts w:hint="eastAsia"/>
                    <w:color w:val="auto"/>
                    <w:sz w:val="18"/>
                    <w:szCs w:val="18"/>
                    <w:lang w:bidi="ar"/>
                  </w:rPr>
                  <w:t>34%</w:t>
                </w:r>
              </w:p>
            </w:tc>
          </w:tr>
          <w:tr w14:paraId="2694933B">
            <w:tblPrEx>
              <w:tblCellMar>
                <w:top w:w="0" w:type="dxa"/>
                <w:left w:w="108" w:type="dxa"/>
                <w:bottom w:w="0" w:type="dxa"/>
                <w:right w:w="108" w:type="dxa"/>
              </w:tblCellMar>
            </w:tblPrEx>
            <w:trPr>
              <w:trHeight w:val="397" w:hRule="atLeast"/>
            </w:trPr>
            <w:tc>
              <w:tcPr>
                <w:tcW w:w="637" w:type="pct"/>
                <w:tcBorders>
                  <w:top w:val="single" w:color="000000" w:sz="4" w:space="0"/>
                  <w:left w:val="single" w:color="000000" w:sz="4" w:space="0"/>
                  <w:bottom w:val="single" w:color="000000" w:sz="4" w:space="0"/>
                  <w:right w:val="single" w:color="000000" w:sz="4" w:space="0"/>
                </w:tcBorders>
                <w:vAlign w:val="center"/>
              </w:tcPr>
              <w:p w14:paraId="3E28EA08">
                <w:pPr>
                  <w:widowControl/>
                  <w:spacing w:line="240" w:lineRule="auto"/>
                  <w:jc w:val="center"/>
                  <w:textAlignment w:val="center"/>
                  <w:rPr>
                    <w:rFonts w:ascii="宋体" w:hAnsi="宋体" w:cs="宋体"/>
                    <w:kern w:val="0"/>
                    <w:sz w:val="18"/>
                    <w:szCs w:val="18"/>
                    <w:lang w:bidi="ar"/>
                  </w:rPr>
                </w:pPr>
                <w:r>
                  <w:rPr>
                    <w:rFonts w:ascii="宋体" w:hAnsi="宋体" w:cs="宋体"/>
                    <w:kern w:val="0"/>
                    <w:sz w:val="18"/>
                    <w:szCs w:val="18"/>
                    <w:lang w:bidi="ar"/>
                  </w:rPr>
                  <w:t>可溶性固形物</w:t>
                </w:r>
                <w:r>
                  <w:rPr>
                    <w:rFonts w:hint="eastAsia" w:ascii="宋体" w:hAnsi="宋体" w:cs="宋体"/>
                    <w:kern w:val="0"/>
                    <w:sz w:val="18"/>
                    <w:szCs w:val="18"/>
                    <w:lang w:bidi="ar"/>
                  </w:rPr>
                  <w:t>，%</w:t>
                </w:r>
              </w:p>
            </w:tc>
            <w:tc>
              <w:tcPr>
                <w:tcW w:w="1287" w:type="pct"/>
                <w:tcBorders>
                  <w:top w:val="single" w:color="000000" w:sz="4" w:space="0"/>
                  <w:left w:val="single" w:color="000000" w:sz="4" w:space="0"/>
                  <w:bottom w:val="single" w:color="000000" w:sz="4" w:space="0"/>
                  <w:right w:val="single" w:color="000000" w:sz="4" w:space="0"/>
                </w:tcBorders>
                <w:vAlign w:val="center"/>
              </w:tcPr>
              <w:p w14:paraId="42A716D6">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w:t>
                </w:r>
                <w:r>
                  <w:rPr>
                    <w:rStyle w:val="238"/>
                    <w:rFonts w:hint="eastAsia"/>
                    <w:color w:val="auto"/>
                    <w:sz w:val="18"/>
                    <w:szCs w:val="18"/>
                    <w:lang w:val="en-US" w:eastAsia="zh-CN" w:bidi="ar"/>
                  </w:rPr>
                  <w:t xml:space="preserve"> </w:t>
                </w:r>
                <w:r>
                  <w:rPr>
                    <w:rStyle w:val="238"/>
                    <w:rFonts w:hint="eastAsia"/>
                    <w:color w:val="auto"/>
                    <w:sz w:val="18"/>
                    <w:szCs w:val="18"/>
                    <w:lang w:bidi="ar"/>
                  </w:rPr>
                  <w:t>24%</w:t>
                </w:r>
              </w:p>
            </w:tc>
            <w:tc>
              <w:tcPr>
                <w:tcW w:w="1463" w:type="pct"/>
                <w:tcBorders>
                  <w:top w:val="single" w:color="000000" w:sz="4" w:space="0"/>
                  <w:left w:val="single" w:color="000000" w:sz="4" w:space="0"/>
                  <w:bottom w:val="single" w:color="000000" w:sz="4" w:space="0"/>
                  <w:right w:val="single" w:color="000000" w:sz="4" w:space="0"/>
                </w:tcBorders>
                <w:vAlign w:val="center"/>
              </w:tcPr>
              <w:p w14:paraId="1F23F918">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w:t>
                </w:r>
                <w:r>
                  <w:rPr>
                    <w:rStyle w:val="238"/>
                    <w:rFonts w:hint="eastAsia"/>
                    <w:color w:val="auto"/>
                    <w:sz w:val="18"/>
                    <w:szCs w:val="18"/>
                    <w:lang w:val="en-US" w:eastAsia="zh-CN" w:bidi="ar"/>
                  </w:rPr>
                  <w:t xml:space="preserve"> </w:t>
                </w:r>
                <w:r>
                  <w:rPr>
                    <w:rStyle w:val="238"/>
                    <w:rFonts w:hint="eastAsia"/>
                    <w:color w:val="auto"/>
                    <w:sz w:val="18"/>
                    <w:szCs w:val="18"/>
                    <w:lang w:bidi="ar"/>
                  </w:rPr>
                  <w:t>22%</w:t>
                </w:r>
              </w:p>
            </w:tc>
            <w:tc>
              <w:tcPr>
                <w:tcW w:w="1612" w:type="pct"/>
                <w:tcBorders>
                  <w:top w:val="single" w:color="000000" w:sz="4" w:space="0"/>
                  <w:left w:val="single" w:color="000000" w:sz="4" w:space="0"/>
                  <w:bottom w:val="single" w:color="000000" w:sz="4" w:space="0"/>
                  <w:right w:val="single" w:color="000000" w:sz="4" w:space="0"/>
                </w:tcBorders>
                <w:vAlign w:val="center"/>
              </w:tcPr>
              <w:p w14:paraId="4217D008">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w:t>
                </w:r>
                <w:r>
                  <w:rPr>
                    <w:rStyle w:val="238"/>
                    <w:rFonts w:hint="eastAsia"/>
                    <w:color w:val="auto"/>
                    <w:sz w:val="18"/>
                    <w:szCs w:val="18"/>
                    <w:lang w:val="en-US" w:eastAsia="zh-CN" w:bidi="ar"/>
                  </w:rPr>
                  <w:t xml:space="preserve"> </w:t>
                </w:r>
                <w:r>
                  <w:rPr>
                    <w:rStyle w:val="238"/>
                    <w:rFonts w:hint="eastAsia"/>
                    <w:color w:val="auto"/>
                    <w:sz w:val="18"/>
                    <w:szCs w:val="18"/>
                    <w:lang w:bidi="ar"/>
                  </w:rPr>
                  <w:t>20%</w:t>
                </w:r>
              </w:p>
            </w:tc>
          </w:tr>
          <w:tr w14:paraId="341AB995">
            <w:tblPrEx>
              <w:tblCellMar>
                <w:top w:w="0" w:type="dxa"/>
                <w:left w:w="108" w:type="dxa"/>
                <w:bottom w:w="0" w:type="dxa"/>
                <w:right w:w="108" w:type="dxa"/>
              </w:tblCellMar>
            </w:tblPrEx>
            <w:trPr>
              <w:trHeight w:val="397" w:hRule="atLeast"/>
            </w:trPr>
            <w:tc>
              <w:tcPr>
                <w:tcW w:w="637" w:type="pct"/>
                <w:tcBorders>
                  <w:top w:val="single" w:color="000000" w:sz="4" w:space="0"/>
                  <w:left w:val="single" w:color="000000" w:sz="4" w:space="0"/>
                  <w:bottom w:val="single" w:color="000000" w:sz="4" w:space="0"/>
                  <w:right w:val="single" w:color="000000" w:sz="4" w:space="0"/>
                </w:tcBorders>
                <w:vAlign w:val="center"/>
              </w:tcPr>
              <w:p w14:paraId="2CE10D7C">
                <w:pPr>
                  <w:widowControl/>
                  <w:spacing w:line="240" w:lineRule="auto"/>
                  <w:jc w:val="center"/>
                  <w:textAlignment w:val="center"/>
                  <w:rPr>
                    <w:rFonts w:ascii="宋体" w:hAnsi="宋体" w:cs="宋体"/>
                    <w:kern w:val="0"/>
                    <w:sz w:val="18"/>
                    <w:szCs w:val="18"/>
                    <w:lang w:bidi="ar"/>
                  </w:rPr>
                </w:pPr>
                <w:r>
                  <w:rPr>
                    <w:rFonts w:hint="eastAsia" w:ascii="宋体" w:hAnsi="宋体" w:cs="宋体"/>
                    <w:kern w:val="0"/>
                    <w:sz w:val="18"/>
                    <w:szCs w:val="18"/>
                    <w:lang w:bidi="ar"/>
                  </w:rPr>
                  <w:t>可滴定酸，g/kg</w:t>
                </w:r>
              </w:p>
            </w:tc>
            <w:tc>
              <w:tcPr>
                <w:tcW w:w="4362" w:type="pct"/>
                <w:gridSpan w:val="3"/>
                <w:tcBorders>
                  <w:top w:val="single" w:color="000000" w:sz="4" w:space="0"/>
                  <w:left w:val="single" w:color="000000" w:sz="4" w:space="0"/>
                  <w:bottom w:val="single" w:color="000000" w:sz="4" w:space="0"/>
                  <w:right w:val="single" w:color="000000" w:sz="4" w:space="0"/>
                </w:tcBorders>
                <w:vAlign w:val="center"/>
              </w:tcPr>
              <w:p w14:paraId="50CF19B9">
                <w:pPr>
                  <w:widowControl/>
                  <w:spacing w:line="240" w:lineRule="auto"/>
                  <w:jc w:val="center"/>
                  <w:textAlignment w:val="center"/>
                  <w:rPr>
                    <w:rStyle w:val="238"/>
                    <w:color w:val="auto"/>
                    <w:sz w:val="18"/>
                    <w:szCs w:val="18"/>
                    <w:lang w:bidi="ar"/>
                  </w:rPr>
                </w:pPr>
                <w:r>
                  <w:rPr>
                    <w:rStyle w:val="238"/>
                    <w:rFonts w:hint="eastAsia"/>
                    <w:color w:val="auto"/>
                    <w:sz w:val="18"/>
                    <w:szCs w:val="18"/>
                    <w:lang w:bidi="ar"/>
                  </w:rPr>
                  <w:t>≤0.5%</w:t>
                </w:r>
              </w:p>
            </w:tc>
          </w:tr>
        </w:tbl>
        <w:p w14:paraId="004E47C6">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70" w:name="_Toc3236"/>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1</w:t>
          </w:r>
          <w:r>
            <w:rPr>
              <w:rFonts w:hint="eastAsia" w:ascii="黑体" w:hAnsi="宋体" w:eastAsia="黑体" w:cs="黑体"/>
              <w:color w:val="000000" w:themeColor="text1"/>
              <w:kern w:val="0"/>
              <w:lang w:bidi="ar"/>
              <w14:textFill>
                <w14:solidFill>
                  <w14:schemeClr w14:val="tx1"/>
                </w14:solidFill>
              </w14:textFill>
            </w:rPr>
            <w:t>.</w:t>
          </w:r>
          <w:r>
            <w:rPr>
              <w:rFonts w:hint="eastAsia" w:ascii="黑体" w:hAnsi="宋体" w:eastAsia="黑体" w:cs="黑体"/>
              <w:color w:val="000000" w:themeColor="text1"/>
              <w:kern w:val="0"/>
              <w:lang w:val="en-US" w:eastAsia="zh-CN" w:bidi="ar"/>
              <w14:textFill>
                <w14:solidFill>
                  <w14:schemeClr w14:val="tx1"/>
                </w14:solidFill>
              </w14:textFill>
            </w:rPr>
            <w:t>3.3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规格要求</w:t>
          </w:r>
          <w:bookmarkEnd w:id="169"/>
          <w:bookmarkEnd w:id="170"/>
        </w:p>
        <w:p w14:paraId="562424B6">
          <w:pPr>
            <w:widowControl/>
            <w:spacing w:line="240" w:lineRule="auto"/>
            <w:ind w:firstLine="420" w:firstLineChars="200"/>
            <w:jc w:val="left"/>
            <w:rPr>
              <w:rFonts w:ascii="黑体" w:hAnsi="宋体" w:eastAsia="黑体" w:cs="黑体"/>
              <w:kern w:val="0"/>
              <w:lang w:bidi="ar"/>
            </w:rPr>
          </w:pPr>
          <w:r>
            <w:rPr>
              <w:rFonts w:hint="eastAsia" w:ascii="宋体" w:hAnsi="Times New Roman"/>
              <w:color w:val="000000" w:themeColor="text1"/>
              <w:kern w:val="0"/>
              <w14:textFill>
                <w14:solidFill>
                  <w14:schemeClr w14:val="tx1"/>
                </w14:solidFill>
              </w14:textFill>
            </w:rPr>
            <w:t>以果实千克粒数为指标，菠萝蜜分为大（L）、中（M）、小（S）三个规格。果品规格划分应符合表</w:t>
          </w:r>
          <w:r>
            <w:rPr>
              <w:rFonts w:hint="eastAsia" w:ascii="宋体" w:hAnsi="Times New Roman"/>
              <w:color w:val="000000" w:themeColor="text1"/>
              <w:kern w:val="0"/>
              <w:lang w:val="en-US" w:eastAsia="zh-CN"/>
              <w14:textFill>
                <w14:solidFill>
                  <w14:schemeClr w14:val="tx1"/>
                </w14:solidFill>
              </w14:textFill>
            </w:rPr>
            <w:t xml:space="preserve"> </w:t>
          </w:r>
          <w:r>
            <w:rPr>
              <w:rFonts w:hint="eastAsia" w:ascii="宋体" w:hAnsi="Times New Roman"/>
              <w:color w:val="000000" w:themeColor="text1"/>
              <w:kern w:val="0"/>
              <w14:textFill>
                <w14:solidFill>
                  <w14:schemeClr w14:val="tx1"/>
                </w14:solidFill>
              </w14:textFill>
            </w:rPr>
            <w:t>4</w:t>
          </w:r>
          <w:r>
            <w:rPr>
              <w:rFonts w:hint="eastAsia" w:ascii="宋体" w:hAnsi="Times New Roman"/>
              <w:color w:val="000000" w:themeColor="text1"/>
              <w:kern w:val="0"/>
              <w:lang w:val="en-US" w:eastAsia="zh-CN"/>
              <w14:textFill>
                <w14:solidFill>
                  <w14:schemeClr w14:val="tx1"/>
                </w14:solidFill>
              </w14:textFill>
            </w:rPr>
            <w:t xml:space="preserve"> </w:t>
          </w:r>
          <w:r>
            <w:rPr>
              <w:rFonts w:hint="eastAsia" w:ascii="宋体" w:hAnsi="Times New Roman"/>
              <w:color w:val="000000" w:themeColor="text1"/>
              <w:kern w:val="0"/>
              <w14:textFill>
                <w14:solidFill>
                  <w14:schemeClr w14:val="tx1"/>
                </w14:solidFill>
              </w14:textFill>
            </w:rPr>
            <w:t>的规定。</w:t>
          </w:r>
        </w:p>
        <w:p w14:paraId="43A13349">
          <w:pPr>
            <w:widowControl/>
            <w:jc w:val="center"/>
            <w:rPr>
              <w:rFonts w:ascii="宋体" w:hAnsi="Times New Roman"/>
              <w:kern w:val="0"/>
            </w:rPr>
          </w:pPr>
          <w:r>
            <w:rPr>
              <w:rFonts w:hint="eastAsia" w:ascii="黑体" w:hAnsi="黑体" w:eastAsia="黑体" w:cs="黑体"/>
              <w:lang w:bidi="ar"/>
            </w:rPr>
            <w:t>表4 果</w:t>
          </w:r>
          <w:r>
            <w:rPr>
              <w:rFonts w:ascii="黑体" w:hAnsi="宋体" w:eastAsia="黑体" w:cs="黑体"/>
              <w:kern w:val="0"/>
              <w:lang w:bidi="ar"/>
            </w:rPr>
            <w:t>品</w:t>
          </w:r>
          <w:r>
            <w:rPr>
              <w:rFonts w:hint="eastAsia" w:ascii="黑体" w:hAnsi="宋体" w:eastAsia="黑体" w:cs="黑体"/>
              <w:kern w:val="0"/>
              <w:lang w:bidi="ar"/>
            </w:rPr>
            <w:t>规格划分</w:t>
          </w:r>
          <w:r>
            <w:rPr>
              <w:rFonts w:hint="eastAsia" w:ascii="黑体" w:hAnsi="宋体" w:eastAsia="黑体" w:cs="黑体"/>
              <w:kern w:val="0"/>
              <w:lang w:eastAsia="zh-CN" w:bidi="ar"/>
            </w:rPr>
            <w:t xml:space="preserve">   </w:t>
          </w:r>
          <w:r>
            <w:rPr>
              <w:rFonts w:hint="eastAsia" w:ascii="宋体" w:hAnsi="Times New Roman"/>
              <w:kern w:val="0"/>
            </w:rPr>
            <w:t xml:space="preserve"> </w:t>
          </w:r>
        </w:p>
        <w:p w14:paraId="1A393F3B">
          <w:pPr>
            <w:widowControl/>
            <w:jc w:val="center"/>
            <w:rPr>
              <w:rFonts w:ascii="宋体" w:hAnsi="Times New Roman"/>
              <w:kern w:val="0"/>
            </w:rPr>
          </w:pPr>
          <w:r>
            <w:rPr>
              <w:rFonts w:hint="eastAsia" w:ascii="宋体" w:hAnsi="Times New Roman"/>
              <w:kern w:val="0"/>
              <w:lang w:eastAsia="zh-CN"/>
            </w:rPr>
            <w:t xml:space="preserve">                                        </w:t>
          </w:r>
          <w:r>
            <w:rPr>
              <w:rFonts w:hint="eastAsia" w:ascii="宋体" w:hAnsi="Times New Roman"/>
              <w:kern w:val="0"/>
            </w:rPr>
            <w:t>单位：kg</w:t>
          </w:r>
        </w:p>
        <w:tbl>
          <w:tblPr>
            <w:tblStyle w:val="29"/>
            <w:tblW w:w="95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4"/>
            <w:gridCol w:w="2214"/>
            <w:gridCol w:w="2707"/>
            <w:gridCol w:w="2764"/>
          </w:tblGrid>
          <w:tr w14:paraId="618BE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Merge w:val="restart"/>
                <w:vAlign w:val="center"/>
              </w:tcPr>
              <w:p w14:paraId="213B6765">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品种</w:t>
                </w:r>
              </w:p>
            </w:tc>
            <w:tc>
              <w:tcPr>
                <w:tcW w:w="7685" w:type="dxa"/>
                <w:gridSpan w:val="3"/>
                <w:vAlign w:val="center"/>
              </w:tcPr>
              <w:p w14:paraId="7EFA4090">
                <w:pPr>
                  <w:widowControl/>
                  <w:spacing w:line="240" w:lineRule="auto"/>
                  <w:jc w:val="center"/>
                  <w:textAlignment w:val="center"/>
                  <w:rPr>
                    <w:rFonts w:ascii="宋体" w:hAnsi="宋体" w:cs="宋体"/>
                    <w:kern w:val="0"/>
                    <w:sz w:val="18"/>
                    <w:szCs w:val="18"/>
                    <w:lang w:bidi="ar"/>
                  </w:rPr>
                </w:pPr>
                <w:r>
                  <w:rPr>
                    <w:rFonts w:hint="eastAsia" w:ascii="宋体" w:hAnsi="宋体" w:cs="宋体"/>
                    <w:kern w:val="0"/>
                    <w:sz w:val="18"/>
                    <w:szCs w:val="18"/>
                    <w:lang w:bidi="ar"/>
                  </w:rPr>
                  <w:t>规格</w:t>
                </w:r>
              </w:p>
            </w:tc>
          </w:tr>
          <w:tr w14:paraId="3B2BE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Merge w:val="continue"/>
                <w:vAlign w:val="center"/>
              </w:tcPr>
              <w:p w14:paraId="4E5027A9">
                <w:pPr>
                  <w:widowControl/>
                  <w:spacing w:line="240" w:lineRule="auto"/>
                  <w:jc w:val="center"/>
                  <w:rPr>
                    <w:rFonts w:ascii="宋体" w:hAnsi="宋体" w:cs="宋体"/>
                    <w:kern w:val="0"/>
                    <w:sz w:val="18"/>
                    <w:szCs w:val="18"/>
                    <w:lang w:bidi="ar"/>
                  </w:rPr>
                </w:pPr>
              </w:p>
            </w:tc>
            <w:tc>
              <w:tcPr>
                <w:tcW w:w="2214" w:type="dxa"/>
                <w:vAlign w:val="center"/>
              </w:tcPr>
              <w:p w14:paraId="740E578E">
                <w:pPr>
                  <w:widowControl/>
                  <w:spacing w:line="240" w:lineRule="auto"/>
                  <w:jc w:val="center"/>
                  <w:textAlignment w:val="center"/>
                  <w:rPr>
                    <w:rFonts w:ascii="宋体" w:hAnsi="宋体" w:cs="宋体"/>
                    <w:kern w:val="0"/>
                    <w:sz w:val="18"/>
                    <w:szCs w:val="18"/>
                    <w:lang w:bidi="ar"/>
                  </w:rPr>
                </w:pPr>
                <w:r>
                  <w:rPr>
                    <w:rFonts w:hint="eastAsia" w:ascii="宋体" w:hAnsi="宋体" w:cs="宋体"/>
                    <w:kern w:val="0"/>
                    <w:sz w:val="18"/>
                    <w:szCs w:val="18"/>
                    <w:lang w:bidi="ar"/>
                  </w:rPr>
                  <w:t>大型</w:t>
                </w:r>
              </w:p>
            </w:tc>
            <w:tc>
              <w:tcPr>
                <w:tcW w:w="2707" w:type="dxa"/>
                <w:vAlign w:val="center"/>
              </w:tcPr>
              <w:p w14:paraId="6541E8A1">
                <w:pPr>
                  <w:widowControl/>
                  <w:spacing w:line="240" w:lineRule="auto"/>
                  <w:jc w:val="center"/>
                  <w:textAlignment w:val="center"/>
                  <w:rPr>
                    <w:rFonts w:ascii="宋体" w:hAnsi="宋体" w:cs="宋体"/>
                    <w:kern w:val="0"/>
                    <w:sz w:val="18"/>
                    <w:szCs w:val="18"/>
                    <w:lang w:bidi="ar"/>
                  </w:rPr>
                </w:pPr>
                <w:r>
                  <w:rPr>
                    <w:rFonts w:hint="eastAsia" w:ascii="宋体" w:hAnsi="宋体" w:cs="宋体"/>
                    <w:kern w:val="0"/>
                    <w:sz w:val="18"/>
                    <w:szCs w:val="18"/>
                    <w:lang w:bidi="ar"/>
                  </w:rPr>
                  <w:t>中型</w:t>
                </w:r>
              </w:p>
            </w:tc>
            <w:tc>
              <w:tcPr>
                <w:tcW w:w="2764" w:type="dxa"/>
                <w:vAlign w:val="center"/>
              </w:tcPr>
              <w:p w14:paraId="2C86670B">
                <w:pPr>
                  <w:widowControl/>
                  <w:spacing w:line="240" w:lineRule="auto"/>
                  <w:jc w:val="center"/>
                  <w:textAlignment w:val="center"/>
                  <w:rPr>
                    <w:rFonts w:ascii="宋体" w:hAnsi="宋体" w:cs="宋体"/>
                    <w:kern w:val="0"/>
                    <w:sz w:val="18"/>
                    <w:szCs w:val="18"/>
                    <w:lang w:bidi="ar"/>
                  </w:rPr>
                </w:pPr>
                <w:r>
                  <w:rPr>
                    <w:rFonts w:hint="eastAsia" w:ascii="宋体" w:hAnsi="宋体" w:cs="宋体"/>
                    <w:kern w:val="0"/>
                    <w:sz w:val="18"/>
                    <w:szCs w:val="18"/>
                    <w:lang w:bidi="ar"/>
                  </w:rPr>
                  <w:t>小型</w:t>
                </w:r>
              </w:p>
            </w:tc>
          </w:tr>
          <w:tr w14:paraId="162F8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Align w:val="center"/>
              </w:tcPr>
              <w:p w14:paraId="1DA95341">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琼引1号</w:t>
                </w:r>
              </w:p>
            </w:tc>
            <w:tc>
              <w:tcPr>
                <w:tcW w:w="2214" w:type="dxa"/>
                <w:vAlign w:val="center"/>
              </w:tcPr>
              <w:p w14:paraId="03EBAA9A">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w:t>
                </w:r>
                <w:r>
                  <w:rPr>
                    <w:rFonts w:hint="eastAsia" w:ascii="宋体" w:hAnsi="宋体" w:cs="宋体"/>
                    <w:kern w:val="0"/>
                    <w:sz w:val="18"/>
                    <w:szCs w:val="18"/>
                    <w:lang w:val="en-US" w:eastAsia="zh-CN" w:bidi="ar"/>
                  </w:rPr>
                  <w:t xml:space="preserve"> </w:t>
                </w:r>
                <w:r>
                  <w:rPr>
                    <w:rFonts w:hint="eastAsia" w:ascii="宋体" w:hAnsi="宋体" w:cs="宋体"/>
                    <w:kern w:val="0"/>
                    <w:sz w:val="18"/>
                    <w:szCs w:val="18"/>
                    <w:lang w:bidi="ar"/>
                  </w:rPr>
                  <w:t>18.0</w:t>
                </w:r>
              </w:p>
            </w:tc>
            <w:tc>
              <w:tcPr>
                <w:tcW w:w="2707" w:type="dxa"/>
                <w:vAlign w:val="center"/>
              </w:tcPr>
              <w:p w14:paraId="02FC7C16">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9</w:t>
                </w:r>
                <w:r>
                  <w:rPr>
                    <w:rFonts w:ascii="宋体" w:hAnsi="宋体" w:cs="宋体"/>
                    <w:kern w:val="0"/>
                    <w:sz w:val="18"/>
                    <w:szCs w:val="18"/>
                    <w:lang w:bidi="ar"/>
                  </w:rPr>
                  <w:t>.0～1</w:t>
                </w:r>
                <w:r>
                  <w:rPr>
                    <w:rFonts w:hint="eastAsia" w:ascii="宋体" w:hAnsi="宋体" w:cs="宋体"/>
                    <w:kern w:val="0"/>
                    <w:sz w:val="18"/>
                    <w:szCs w:val="18"/>
                    <w:lang w:bidi="ar"/>
                  </w:rPr>
                  <w:t>8</w:t>
                </w:r>
                <w:r>
                  <w:rPr>
                    <w:rFonts w:ascii="宋体" w:hAnsi="宋体" w:cs="宋体"/>
                    <w:kern w:val="0"/>
                    <w:sz w:val="18"/>
                    <w:szCs w:val="18"/>
                    <w:lang w:bidi="ar"/>
                  </w:rPr>
                  <w:t>.0</w:t>
                </w:r>
              </w:p>
            </w:tc>
            <w:tc>
              <w:tcPr>
                <w:tcW w:w="2764" w:type="dxa"/>
                <w:vAlign w:val="center"/>
              </w:tcPr>
              <w:p w14:paraId="2B311CEE">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w:t>
                </w:r>
                <w:r>
                  <w:rPr>
                    <w:rFonts w:hint="eastAsia" w:ascii="宋体" w:hAnsi="宋体" w:cs="宋体"/>
                    <w:kern w:val="0"/>
                    <w:sz w:val="18"/>
                    <w:szCs w:val="18"/>
                    <w:lang w:val="en-US" w:eastAsia="zh-CN" w:bidi="ar"/>
                  </w:rPr>
                  <w:t xml:space="preserve"> </w:t>
                </w:r>
                <w:r>
                  <w:rPr>
                    <w:rFonts w:hint="eastAsia" w:ascii="宋体" w:hAnsi="宋体" w:cs="宋体"/>
                    <w:kern w:val="0"/>
                    <w:sz w:val="18"/>
                    <w:szCs w:val="18"/>
                    <w:lang w:bidi="ar"/>
                  </w:rPr>
                  <w:t>9</w:t>
                </w:r>
                <w:r>
                  <w:rPr>
                    <w:rFonts w:ascii="宋体" w:hAnsi="宋体" w:cs="宋体"/>
                    <w:kern w:val="0"/>
                    <w:sz w:val="18"/>
                    <w:szCs w:val="18"/>
                    <w:lang w:bidi="ar"/>
                  </w:rPr>
                  <w:t>.0</w:t>
                </w:r>
              </w:p>
            </w:tc>
          </w:tr>
          <w:tr w14:paraId="4B0BD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Align w:val="center"/>
              </w:tcPr>
              <w:p w14:paraId="396C9D9F">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琼引8号</w:t>
                </w:r>
              </w:p>
            </w:tc>
            <w:tc>
              <w:tcPr>
                <w:tcW w:w="2214" w:type="dxa"/>
                <w:vAlign w:val="center"/>
              </w:tcPr>
              <w:p w14:paraId="16E7AC7D">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w:t>
                </w:r>
                <w:r>
                  <w:rPr>
                    <w:rFonts w:hint="eastAsia" w:ascii="宋体" w:hAnsi="宋体" w:cs="宋体"/>
                    <w:kern w:val="0"/>
                    <w:sz w:val="18"/>
                    <w:szCs w:val="18"/>
                    <w:lang w:val="en-US" w:eastAsia="zh-CN" w:bidi="ar"/>
                  </w:rPr>
                  <w:t xml:space="preserve"> </w:t>
                </w:r>
                <w:r>
                  <w:rPr>
                    <w:rFonts w:hint="eastAsia" w:ascii="宋体" w:hAnsi="宋体" w:cs="宋体"/>
                    <w:kern w:val="0"/>
                    <w:sz w:val="18"/>
                    <w:szCs w:val="18"/>
                    <w:lang w:bidi="ar"/>
                  </w:rPr>
                  <w:t>10.0</w:t>
                </w:r>
              </w:p>
            </w:tc>
            <w:tc>
              <w:tcPr>
                <w:tcW w:w="2707" w:type="dxa"/>
                <w:vAlign w:val="center"/>
              </w:tcPr>
              <w:p w14:paraId="50D0F513">
                <w:pPr>
                  <w:widowControl/>
                  <w:spacing w:line="240" w:lineRule="auto"/>
                  <w:jc w:val="center"/>
                  <w:rPr>
                    <w:rFonts w:ascii="宋体" w:hAnsi="宋体" w:cs="宋体"/>
                    <w:kern w:val="0"/>
                    <w:sz w:val="18"/>
                    <w:szCs w:val="18"/>
                    <w:lang w:bidi="ar"/>
                  </w:rPr>
                </w:pPr>
                <w:r>
                  <w:rPr>
                    <w:rFonts w:ascii="宋体" w:hAnsi="宋体" w:cs="宋体"/>
                    <w:kern w:val="0"/>
                    <w:sz w:val="18"/>
                    <w:szCs w:val="18"/>
                    <w:lang w:bidi="ar"/>
                  </w:rPr>
                  <w:t>6.0～10.0</w:t>
                </w:r>
              </w:p>
            </w:tc>
            <w:tc>
              <w:tcPr>
                <w:tcW w:w="2764" w:type="dxa"/>
                <w:vAlign w:val="center"/>
              </w:tcPr>
              <w:p w14:paraId="7B56C68C">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w:t>
                </w:r>
                <w:r>
                  <w:rPr>
                    <w:rFonts w:hint="eastAsia" w:ascii="宋体" w:hAnsi="宋体" w:cs="宋体"/>
                    <w:kern w:val="0"/>
                    <w:sz w:val="18"/>
                    <w:szCs w:val="18"/>
                    <w:lang w:val="en-US" w:eastAsia="zh-CN" w:bidi="ar"/>
                  </w:rPr>
                  <w:t xml:space="preserve"> </w:t>
                </w:r>
                <w:r>
                  <w:rPr>
                    <w:rFonts w:ascii="宋体" w:hAnsi="宋体" w:cs="宋体"/>
                    <w:kern w:val="0"/>
                    <w:sz w:val="18"/>
                    <w:szCs w:val="18"/>
                    <w:lang w:bidi="ar"/>
                  </w:rPr>
                  <w:t>6.0</w:t>
                </w:r>
              </w:p>
            </w:tc>
          </w:tr>
          <w:tr w14:paraId="27043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854" w:type="dxa"/>
                <w:vAlign w:val="center"/>
              </w:tcPr>
              <w:p w14:paraId="1F66C5B0">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香蜜17号</w:t>
                </w:r>
              </w:p>
            </w:tc>
            <w:tc>
              <w:tcPr>
                <w:tcW w:w="2214" w:type="dxa"/>
                <w:vAlign w:val="center"/>
              </w:tcPr>
              <w:p w14:paraId="44BAB113">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w:t>
                </w:r>
                <w:r>
                  <w:rPr>
                    <w:rFonts w:hint="eastAsia" w:ascii="宋体" w:hAnsi="宋体" w:cs="宋体"/>
                    <w:kern w:val="0"/>
                    <w:sz w:val="18"/>
                    <w:szCs w:val="18"/>
                    <w:lang w:val="en-US" w:eastAsia="zh-CN" w:bidi="ar"/>
                  </w:rPr>
                  <w:t xml:space="preserve"> </w:t>
                </w:r>
                <w:r>
                  <w:rPr>
                    <w:rFonts w:hint="eastAsia" w:ascii="宋体" w:hAnsi="宋体" w:cs="宋体"/>
                    <w:kern w:val="0"/>
                    <w:sz w:val="18"/>
                    <w:szCs w:val="18"/>
                    <w:lang w:bidi="ar"/>
                  </w:rPr>
                  <w:t>10.0</w:t>
                </w:r>
              </w:p>
            </w:tc>
            <w:tc>
              <w:tcPr>
                <w:tcW w:w="2707" w:type="dxa"/>
                <w:vAlign w:val="center"/>
              </w:tcPr>
              <w:p w14:paraId="49281253">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5.0</w:t>
                </w:r>
                <w:r>
                  <w:rPr>
                    <w:rFonts w:ascii="宋体" w:hAnsi="宋体" w:cs="宋体"/>
                    <w:kern w:val="0"/>
                    <w:sz w:val="18"/>
                    <w:szCs w:val="18"/>
                    <w:lang w:bidi="ar"/>
                  </w:rPr>
                  <w:t>～</w:t>
                </w:r>
                <w:r>
                  <w:rPr>
                    <w:rFonts w:hint="eastAsia" w:ascii="宋体" w:hAnsi="宋体" w:cs="宋体"/>
                    <w:kern w:val="0"/>
                    <w:sz w:val="18"/>
                    <w:szCs w:val="18"/>
                    <w:lang w:bidi="ar"/>
                  </w:rPr>
                  <w:t>10</w:t>
                </w:r>
                <w:r>
                  <w:rPr>
                    <w:rFonts w:ascii="宋体" w:hAnsi="宋体" w:cs="宋体"/>
                    <w:kern w:val="0"/>
                    <w:sz w:val="18"/>
                    <w:szCs w:val="18"/>
                    <w:lang w:bidi="ar"/>
                  </w:rPr>
                  <w:t>.0</w:t>
                </w:r>
              </w:p>
            </w:tc>
            <w:tc>
              <w:tcPr>
                <w:tcW w:w="2764" w:type="dxa"/>
                <w:vAlign w:val="center"/>
              </w:tcPr>
              <w:p w14:paraId="2153CDA0">
                <w:pPr>
                  <w:widowControl/>
                  <w:spacing w:line="240" w:lineRule="auto"/>
                  <w:jc w:val="center"/>
                  <w:rPr>
                    <w:rFonts w:ascii="宋体" w:hAnsi="宋体" w:cs="宋体"/>
                    <w:kern w:val="0"/>
                    <w:sz w:val="18"/>
                    <w:szCs w:val="18"/>
                    <w:lang w:bidi="ar"/>
                  </w:rPr>
                </w:pPr>
                <w:r>
                  <w:rPr>
                    <w:rFonts w:hint="eastAsia" w:ascii="宋体" w:hAnsi="宋体" w:cs="宋体"/>
                    <w:kern w:val="0"/>
                    <w:sz w:val="18"/>
                    <w:szCs w:val="18"/>
                    <w:lang w:bidi="ar"/>
                  </w:rPr>
                  <w:t>＜</w:t>
                </w:r>
                <w:r>
                  <w:rPr>
                    <w:rFonts w:hint="eastAsia" w:ascii="宋体" w:hAnsi="宋体" w:cs="宋体"/>
                    <w:kern w:val="0"/>
                    <w:sz w:val="18"/>
                    <w:szCs w:val="18"/>
                    <w:lang w:val="en-US" w:eastAsia="zh-CN" w:bidi="ar"/>
                  </w:rPr>
                  <w:t xml:space="preserve"> </w:t>
                </w:r>
                <w:r>
                  <w:rPr>
                    <w:rFonts w:hint="eastAsia" w:ascii="宋体" w:hAnsi="宋体" w:cs="宋体"/>
                    <w:kern w:val="0"/>
                    <w:sz w:val="18"/>
                    <w:szCs w:val="18"/>
                    <w:lang w:bidi="ar"/>
                  </w:rPr>
                  <w:t>5</w:t>
                </w:r>
                <w:r>
                  <w:rPr>
                    <w:rFonts w:ascii="宋体" w:hAnsi="宋体" w:cs="宋体"/>
                    <w:kern w:val="0"/>
                    <w:sz w:val="18"/>
                    <w:szCs w:val="18"/>
                    <w:lang w:bidi="ar"/>
                  </w:rPr>
                  <w:t>.0</w:t>
                </w:r>
              </w:p>
            </w:tc>
          </w:tr>
          <w:tr w14:paraId="04722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9539" w:type="dxa"/>
                <w:gridSpan w:val="4"/>
                <w:vAlign w:val="center"/>
              </w:tcPr>
              <w:p w14:paraId="67495C98">
                <w:pPr>
                  <w:widowControl/>
                  <w:spacing w:line="240" w:lineRule="auto"/>
                  <w:jc w:val="left"/>
                  <w:rPr>
                    <w:rFonts w:ascii="宋体" w:hAnsi="宋体" w:cs="宋体"/>
                    <w:kern w:val="0"/>
                    <w:sz w:val="18"/>
                    <w:szCs w:val="18"/>
                    <w:lang w:bidi="ar"/>
                  </w:rPr>
                </w:pPr>
                <w:r>
                  <w:rPr>
                    <w:rFonts w:hint="eastAsia" w:ascii="宋体" w:hAnsi="宋体" w:cs="宋体"/>
                    <w:kern w:val="0"/>
                    <w:sz w:val="18"/>
                    <w:szCs w:val="18"/>
                    <w:lang w:bidi="ar"/>
                  </w:rPr>
                  <w:t>注：上表中未能列入的其他品种，可根据品种特性参照近似品种的有关指标。</w:t>
                </w:r>
              </w:p>
            </w:tc>
          </w:tr>
        </w:tbl>
        <w:p w14:paraId="2B6810B4">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71" w:name="_Toc15411"/>
          <w:bookmarkStart w:id="172" w:name="_Toc4374"/>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1</w:t>
          </w:r>
          <w:r>
            <w:rPr>
              <w:rFonts w:hint="eastAsia" w:ascii="黑体" w:hAnsi="宋体" w:eastAsia="黑体" w:cs="黑体"/>
              <w:color w:val="000000" w:themeColor="text1"/>
              <w:kern w:val="0"/>
              <w:lang w:bidi="ar"/>
              <w14:textFill>
                <w14:solidFill>
                  <w14:schemeClr w14:val="tx1"/>
                </w14:solidFill>
              </w14:textFill>
            </w:rPr>
            <w:t>.</w:t>
          </w:r>
          <w:r>
            <w:rPr>
              <w:rFonts w:hint="eastAsia" w:ascii="黑体" w:hAnsi="宋体" w:eastAsia="黑体" w:cs="黑体"/>
              <w:color w:val="000000" w:themeColor="text1"/>
              <w:kern w:val="0"/>
              <w:lang w:val="en-US" w:eastAsia="zh-CN" w:bidi="ar"/>
              <w14:textFill>
                <w14:solidFill>
                  <w14:schemeClr w14:val="tx1"/>
                </w14:solidFill>
              </w14:textFill>
            </w:rPr>
            <w:t>3.4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容许度要求</w:t>
          </w:r>
          <w:bookmarkEnd w:id="171"/>
        </w:p>
        <w:p w14:paraId="5255881B">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173" w:name="_Toc5564"/>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1</w:t>
          </w:r>
          <w:r>
            <w:rPr>
              <w:rFonts w:hint="eastAsia" w:ascii="黑体" w:hAnsi="宋体" w:eastAsia="黑体" w:cs="黑体"/>
              <w:color w:val="000000" w:themeColor="text1"/>
              <w:kern w:val="0"/>
              <w:lang w:bidi="ar"/>
              <w14:textFill>
                <w14:solidFill>
                  <w14:schemeClr w14:val="tx1"/>
                </w14:solidFill>
              </w14:textFill>
            </w:rPr>
            <w:t>.</w:t>
          </w:r>
          <w:r>
            <w:rPr>
              <w:rFonts w:hint="eastAsia" w:ascii="黑体" w:hAnsi="宋体" w:eastAsia="黑体" w:cs="黑体"/>
              <w:color w:val="000000" w:themeColor="text1"/>
              <w:kern w:val="0"/>
              <w:lang w:val="en-US" w:eastAsia="zh-CN" w:bidi="ar"/>
              <w14:textFill>
                <w14:solidFill>
                  <w14:schemeClr w14:val="tx1"/>
                </w14:solidFill>
              </w14:textFill>
            </w:rPr>
            <w:t>3.4</w:t>
          </w:r>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等级容许度</w:t>
          </w:r>
          <w:bookmarkEnd w:id="173"/>
        </w:p>
        <w:p w14:paraId="36534EEC">
          <w:pPr>
            <w:widowControl/>
            <w:spacing w:line="240" w:lineRule="auto"/>
            <w:ind w:firstLine="420" w:firstLineChars="200"/>
            <w:jc w:val="left"/>
            <w:rPr>
              <w:rFonts w:ascii="宋体" w:hAnsi="Times New Roman"/>
              <w:color w:val="000000" w:themeColor="text1"/>
              <w:kern w:val="0"/>
              <w14:textFill>
                <w14:solidFill>
                  <w14:schemeClr w14:val="tx1"/>
                </w14:solidFill>
              </w14:textFill>
            </w:rPr>
          </w:pPr>
          <w:r>
            <w:rPr>
              <w:rFonts w:hint="eastAsia" w:ascii="宋体" w:hAnsi="Times New Roman"/>
              <w:color w:val="000000" w:themeColor="text1"/>
              <w:kern w:val="0"/>
              <w14:textFill>
                <w14:solidFill>
                  <w14:schemeClr w14:val="tx1"/>
                </w14:solidFill>
              </w14:textFill>
            </w:rPr>
            <w:t>等级容许度按质量计：</w:t>
          </w:r>
        </w:p>
        <w:p w14:paraId="350788C7">
          <w:pPr>
            <w:widowControl/>
            <w:spacing w:line="240" w:lineRule="auto"/>
            <w:ind w:firstLine="420" w:firstLineChars="200"/>
            <w:jc w:val="left"/>
            <w:rPr>
              <w:rFonts w:ascii="宋体" w:hAnsi="Times New Roman"/>
              <w:color w:val="000000" w:themeColor="text1"/>
              <w:kern w:val="0"/>
              <w14:textFill>
                <w14:solidFill>
                  <w14:schemeClr w14:val="tx1"/>
                </w14:solidFill>
              </w14:textFill>
            </w:rPr>
          </w:pPr>
          <w:r>
            <w:rPr>
              <w:rFonts w:hint="eastAsia" w:ascii="宋体" w:hAnsi="Times New Roman"/>
              <w:color w:val="000000" w:themeColor="text1"/>
              <w:kern w:val="0"/>
              <w14:textFill>
                <w14:solidFill>
                  <w14:schemeClr w14:val="tx1"/>
                </w14:solidFill>
              </w14:textFill>
            </w:rPr>
            <w:t>a）特等品允许有</w:t>
          </w:r>
          <w:r>
            <w:rPr>
              <w:rFonts w:hint="eastAsia" w:ascii="宋体" w:hAnsi="Times New Roman"/>
              <w:color w:val="000000" w:themeColor="text1"/>
              <w:kern w:val="0"/>
              <w:lang w:val="en-US" w:eastAsia="zh-CN"/>
              <w14:textFill>
                <w14:solidFill>
                  <w14:schemeClr w14:val="tx1"/>
                </w14:solidFill>
              </w14:textFill>
            </w:rPr>
            <w:t xml:space="preserve"> </w:t>
          </w:r>
          <w:r>
            <w:rPr>
              <w:rFonts w:hint="eastAsia" w:ascii="宋体" w:hAnsi="Times New Roman"/>
              <w:color w:val="000000" w:themeColor="text1"/>
              <w:kern w:val="0"/>
              <w14:textFill>
                <w14:solidFill>
                  <w14:schemeClr w14:val="tx1"/>
                </w14:solidFill>
              </w14:textFill>
            </w:rPr>
            <w:t>3</w:t>
          </w:r>
          <w:r>
            <w:rPr>
              <w:color w:val="000000" w:themeColor="text1"/>
              <w14:textFill>
                <w14:solidFill>
                  <w14:schemeClr w14:val="tx1"/>
                </w14:solidFill>
              </w14:textFill>
            </w:rPr>
            <w:t> </w:t>
          </w:r>
          <w:r>
            <w:rPr>
              <w:rFonts w:hint="eastAsia" w:ascii="宋体" w:hAnsi="Times New Roman"/>
              <w:color w:val="000000" w:themeColor="text1"/>
              <w:kern w:val="0"/>
              <w14:textFill>
                <w14:solidFill>
                  <w14:schemeClr w14:val="tx1"/>
                </w14:solidFill>
              </w14:textFill>
            </w:rPr>
            <w:t>%的果实不符合本等级的要求，但要符合一等品要求；</w:t>
          </w:r>
        </w:p>
        <w:p w14:paraId="7D171A59">
          <w:pPr>
            <w:widowControl/>
            <w:spacing w:line="240" w:lineRule="auto"/>
            <w:ind w:firstLine="420" w:firstLineChars="200"/>
            <w:jc w:val="left"/>
            <w:rPr>
              <w:rFonts w:ascii="宋体" w:hAnsi="Times New Roman"/>
              <w:color w:val="000000" w:themeColor="text1"/>
              <w:kern w:val="0"/>
              <w14:textFill>
                <w14:solidFill>
                  <w14:schemeClr w14:val="tx1"/>
                </w14:solidFill>
              </w14:textFill>
            </w:rPr>
          </w:pPr>
          <w:r>
            <w:rPr>
              <w:rFonts w:hint="eastAsia" w:ascii="宋体" w:hAnsi="Times New Roman"/>
              <w:color w:val="000000" w:themeColor="text1"/>
              <w:kern w:val="0"/>
              <w14:textFill>
                <w14:solidFill>
                  <w14:schemeClr w14:val="tx1"/>
                </w14:solidFill>
              </w14:textFill>
            </w:rPr>
            <w:t>b）一等品允许有</w:t>
          </w:r>
          <w:r>
            <w:rPr>
              <w:rFonts w:hint="eastAsia"/>
              <w:color w:val="000000" w:themeColor="text1"/>
              <w:lang w:eastAsia="zh-CN"/>
              <w14:textFill>
                <w14:solidFill>
                  <w14:schemeClr w14:val="tx1"/>
                </w14:solidFill>
              </w14:textFill>
            </w:rPr>
            <w:t xml:space="preserve"> </w:t>
          </w:r>
          <w:r>
            <w:rPr>
              <w:rFonts w:hint="eastAsia" w:ascii="宋体" w:hAnsi="Times New Roman"/>
              <w:color w:val="000000" w:themeColor="text1"/>
              <w:kern w:val="0"/>
              <w14:textFill>
                <w14:solidFill>
                  <w14:schemeClr w14:val="tx1"/>
                </w14:solidFill>
              </w14:textFill>
            </w:rPr>
            <w:t>5</w:t>
          </w:r>
          <w:r>
            <w:rPr>
              <w:color w:val="000000" w:themeColor="text1"/>
              <w14:textFill>
                <w14:solidFill>
                  <w14:schemeClr w14:val="tx1"/>
                </w14:solidFill>
              </w14:textFill>
            </w:rPr>
            <w:t> </w:t>
          </w:r>
          <w:r>
            <w:rPr>
              <w:rFonts w:hint="eastAsia" w:ascii="宋体" w:hAnsi="Times New Roman"/>
              <w:color w:val="000000" w:themeColor="text1"/>
              <w:kern w:val="0"/>
              <w14:textFill>
                <w14:solidFill>
                  <w14:schemeClr w14:val="tx1"/>
                </w14:solidFill>
              </w14:textFill>
            </w:rPr>
            <w:t>%的果实不符合本等级的要求，但要符合二等品要求；</w:t>
          </w:r>
        </w:p>
        <w:p w14:paraId="7A5AC349">
          <w:pPr>
            <w:widowControl/>
            <w:spacing w:line="240" w:lineRule="auto"/>
            <w:ind w:firstLine="420" w:firstLineChars="200"/>
            <w:jc w:val="left"/>
            <w:rPr>
              <w:rFonts w:ascii="宋体" w:hAnsi="Times New Roman"/>
              <w:color w:val="000000" w:themeColor="text1"/>
              <w:kern w:val="0"/>
              <w14:textFill>
                <w14:solidFill>
                  <w14:schemeClr w14:val="tx1"/>
                </w14:solidFill>
              </w14:textFill>
            </w:rPr>
          </w:pPr>
          <w:r>
            <w:rPr>
              <w:rFonts w:hint="eastAsia" w:ascii="宋体" w:hAnsi="Times New Roman"/>
              <w:color w:val="000000" w:themeColor="text1"/>
              <w:kern w:val="0"/>
              <w14:textFill>
                <w14:solidFill>
                  <w14:schemeClr w14:val="tx1"/>
                </w14:solidFill>
              </w14:textFill>
            </w:rPr>
            <w:t>c）二等品允许有</w:t>
          </w:r>
          <w:r>
            <w:rPr>
              <w:rFonts w:hint="eastAsia"/>
              <w:color w:val="000000" w:themeColor="text1"/>
              <w:lang w:eastAsia="zh-CN"/>
              <w14:textFill>
                <w14:solidFill>
                  <w14:schemeClr w14:val="tx1"/>
                </w14:solidFill>
              </w14:textFill>
            </w:rPr>
            <w:t xml:space="preserve"> </w:t>
          </w:r>
          <w:r>
            <w:rPr>
              <w:rFonts w:hint="eastAsia" w:ascii="宋体" w:hAnsi="Times New Roman"/>
              <w:color w:val="000000" w:themeColor="text1"/>
              <w:kern w:val="0"/>
              <w14:textFill>
                <w14:solidFill>
                  <w14:schemeClr w14:val="tx1"/>
                </w14:solidFill>
              </w14:textFill>
            </w:rPr>
            <w:t>5</w:t>
          </w:r>
          <w:r>
            <w:rPr>
              <w:color w:val="000000" w:themeColor="text1"/>
              <w14:textFill>
                <w14:solidFill>
                  <w14:schemeClr w14:val="tx1"/>
                </w14:solidFill>
              </w14:textFill>
            </w:rPr>
            <w:t> </w:t>
          </w:r>
          <w:r>
            <w:rPr>
              <w:rFonts w:hint="eastAsia" w:ascii="宋体" w:hAnsi="Times New Roman"/>
              <w:color w:val="000000" w:themeColor="text1"/>
              <w:kern w:val="0"/>
              <w14:textFill>
                <w14:solidFill>
                  <w14:schemeClr w14:val="tx1"/>
                </w14:solidFill>
              </w14:textFill>
            </w:rPr>
            <w:t>%的果实不符合本等级的要求，但应符合基本要求。</w:t>
          </w:r>
        </w:p>
        <w:p w14:paraId="0702CA93">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74" w:name="_Toc29197"/>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3.4</w:t>
          </w:r>
          <w:r>
            <w:rPr>
              <w:rFonts w:hint="eastAsia" w:ascii="黑体" w:hAnsi="宋体" w:eastAsia="黑体" w:cs="黑体"/>
              <w:color w:val="000000" w:themeColor="text1"/>
              <w:kern w:val="0"/>
              <w:sz w:val="21"/>
              <w:szCs w:val="21"/>
              <w:lang w:bidi="ar"/>
              <w14:textFill>
                <w14:solidFill>
                  <w14:schemeClr w14:val="tx1"/>
                </w14:solidFill>
              </w14:textFill>
            </w:rPr>
            <w:t>.2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规格容许度</w:t>
          </w:r>
          <w:bookmarkEnd w:id="174"/>
        </w:p>
        <w:p w14:paraId="1122110B">
          <w:pPr>
            <w:pStyle w:val="14"/>
            <w:ind w:left="0" w:leftChars="0" w:right="1470" w:firstLine="420" w:firstLineChars="200"/>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规格容许度按质量计：</w:t>
          </w:r>
        </w:p>
        <w:p w14:paraId="62F489D8">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a）大型果允许有</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3</w:t>
          </w:r>
          <w:r>
            <w:rPr>
              <w:color w:val="000000" w:themeColor="text1"/>
              <w:sz w:val="21"/>
              <w:szCs w:val="21"/>
              <w14:textFill>
                <w14:solidFill>
                  <w14:schemeClr w14:val="tx1"/>
                </w14:solidFill>
              </w14:textFill>
            </w:rPr>
            <w:t> </w:t>
          </w:r>
          <w:r>
            <w:rPr>
              <w:rFonts w:hint="eastAsia" w:ascii="宋体" w:hAnsi="Times New Roman"/>
              <w:color w:val="000000" w:themeColor="text1"/>
              <w:kern w:val="0"/>
              <w:sz w:val="21"/>
              <w:szCs w:val="21"/>
              <w14:textFill>
                <w14:solidFill>
                  <w14:schemeClr w14:val="tx1"/>
                </w14:solidFill>
              </w14:textFill>
            </w:rPr>
            <w:t>%的果实不符合本规格的要求，但要符合中型果要求；</w:t>
          </w:r>
        </w:p>
        <w:p w14:paraId="5A58FBCF">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b）中型果允许有</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5</w:t>
          </w:r>
          <w:r>
            <w:rPr>
              <w:color w:val="000000" w:themeColor="text1"/>
              <w:sz w:val="21"/>
              <w:szCs w:val="21"/>
              <w14:textFill>
                <w14:solidFill>
                  <w14:schemeClr w14:val="tx1"/>
                </w14:solidFill>
              </w14:textFill>
            </w:rPr>
            <w:t> </w:t>
          </w:r>
          <w:r>
            <w:rPr>
              <w:rFonts w:hint="eastAsia" w:ascii="宋体" w:hAnsi="Times New Roman"/>
              <w:color w:val="000000" w:themeColor="text1"/>
              <w:kern w:val="0"/>
              <w:sz w:val="21"/>
              <w:szCs w:val="21"/>
              <w14:textFill>
                <w14:solidFill>
                  <w14:schemeClr w14:val="tx1"/>
                </w14:solidFill>
              </w14:textFill>
            </w:rPr>
            <w:t>%的果实不符合本规格的要求，但要符合小型果要求；</w:t>
          </w:r>
        </w:p>
        <w:p w14:paraId="22C113F6">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c）小型果允许有</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5</w:t>
          </w:r>
          <w:r>
            <w:rPr>
              <w:color w:val="000000" w:themeColor="text1"/>
              <w:sz w:val="21"/>
              <w:szCs w:val="21"/>
              <w14:textFill>
                <w14:solidFill>
                  <w14:schemeClr w14:val="tx1"/>
                </w14:solidFill>
              </w14:textFill>
            </w:rPr>
            <w:t> </w:t>
          </w:r>
          <w:r>
            <w:rPr>
              <w:rFonts w:hint="eastAsia" w:ascii="宋体" w:hAnsi="Times New Roman"/>
              <w:color w:val="000000" w:themeColor="text1"/>
              <w:kern w:val="0"/>
              <w:sz w:val="21"/>
              <w:szCs w:val="21"/>
              <w14:textFill>
                <w14:solidFill>
                  <w14:schemeClr w14:val="tx1"/>
                </w14:solidFill>
              </w14:textFill>
            </w:rPr>
            <w:t>%的果实不符合本规格的要求，但应符合基本要求。</w:t>
          </w:r>
        </w:p>
        <w:p w14:paraId="64277D16">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75" w:name="_Toc6583"/>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.5</w:t>
          </w:r>
          <w:bookmarkEnd w:id="172"/>
          <w:bookmarkStart w:id="176" w:name="_Toc258"/>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卫生要求</w:t>
          </w:r>
          <w:bookmarkEnd w:id="175"/>
          <w:bookmarkEnd w:id="176"/>
        </w:p>
        <w:p w14:paraId="59F6A216">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主要农药和污染物应分别符合</w:t>
          </w:r>
          <w:r>
            <w:rPr>
              <w:rFonts w:hint="eastAsia" w:ascii="宋体" w:hAnsi="Times New Roman"/>
              <w:color w:val="000000" w:themeColor="text1"/>
              <w:kern w:val="0"/>
              <w:sz w:val="21"/>
              <w:szCs w:val="21"/>
              <w:lang w:val="en-US" w:eastAsia="zh-CN"/>
              <w14:textFill>
                <w14:solidFill>
                  <w14:schemeClr w14:val="tx1"/>
                </w14:solidFill>
              </w14:textFill>
            </w:rPr>
            <w:t>GB</w:t>
          </w:r>
          <w:r>
            <w:rPr>
              <w:rFonts w:hint="eastAsia" w:ascii="宋体" w:hAnsi="Times New Roman"/>
              <w:color w:val="000000" w:themeColor="text1"/>
              <w:kern w:val="0"/>
              <w:sz w:val="21"/>
              <w:szCs w:val="21"/>
              <w14:textFill>
                <w14:solidFill>
                  <w14:schemeClr w14:val="tx1"/>
                </w14:solidFill>
              </w14:textFill>
            </w:rPr>
            <w:t xml:space="preserve"> 2762、GB 2763.1</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要求。</w:t>
          </w:r>
        </w:p>
        <w:p w14:paraId="65B511D0">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77" w:name="_Toc20552"/>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.6</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净含量</w:t>
          </w:r>
          <w:bookmarkEnd w:id="177"/>
          <w:r>
            <w:rPr>
              <w:rFonts w:hint="eastAsia" w:ascii="黑体" w:hAnsi="宋体" w:eastAsia="黑体" w:cs="黑体"/>
              <w:color w:val="000000" w:themeColor="text1"/>
              <w:kern w:val="0"/>
              <w:sz w:val="21"/>
              <w:szCs w:val="21"/>
              <w:lang w:bidi="ar"/>
              <w14:textFill>
                <w14:solidFill>
                  <w14:schemeClr w14:val="tx1"/>
                </w14:solidFill>
              </w14:textFill>
            </w:rPr>
            <w:t xml:space="preserve"> </w:t>
          </w:r>
        </w:p>
        <w:p w14:paraId="6E794103">
          <w:pPr>
            <w:widowControl/>
            <w:spacing w:line="240" w:lineRule="auto"/>
            <w:ind w:firstLine="420" w:firstLineChars="200"/>
            <w:jc w:val="left"/>
            <w:rPr>
              <w:rFonts w:ascii="宋体" w:hAnsi="宋体" w:cs="宋体"/>
              <w:color w:val="000000" w:themeColor="text1"/>
              <w:kern w:val="0"/>
              <w:sz w:val="21"/>
              <w:szCs w:val="21"/>
              <w:lang w:bidi="ar"/>
              <w14:textFill>
                <w14:solidFill>
                  <w14:schemeClr w14:val="tx1"/>
                </w14:solidFill>
              </w14:textFill>
            </w:rPr>
          </w:pPr>
          <w:r>
            <w:rPr>
              <w:rFonts w:hint="eastAsia" w:ascii="宋体" w:hAnsi="宋体" w:cs="宋体"/>
              <w:color w:val="000000" w:themeColor="text1"/>
              <w:kern w:val="0"/>
              <w:sz w:val="21"/>
              <w:szCs w:val="21"/>
              <w:lang w:bidi="ar"/>
              <w14:textFill>
                <w14:solidFill>
                  <w14:schemeClr w14:val="tx1"/>
                </w14:solidFill>
              </w14:textFill>
            </w:rPr>
            <w:t>必须符合国家市场监督管理总局令（2023）第</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70</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号的规定。</w:t>
          </w:r>
        </w:p>
        <w:p w14:paraId="3CBFF1DF">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78" w:name="_Toc3141"/>
          <w:bookmarkStart w:id="179" w:name="_Toc17455"/>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.7</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检验方法</w:t>
          </w:r>
          <w:bookmarkEnd w:id="178"/>
          <w:bookmarkEnd w:id="179"/>
        </w:p>
        <w:p w14:paraId="2AAED380">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80" w:name="_Toc8960"/>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.7.1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感官检验</w:t>
          </w:r>
          <w:bookmarkEnd w:id="180"/>
        </w:p>
        <w:p w14:paraId="0FF4A706">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采用目测法、嗅闻法、触摸法及品尝法测定果实纵径、果实横径与果轴长度，观测果形、色泽及果面畸形与缺陷、成熟度、风味等感官指标。在同一个果实上兼有二项或二项以上不符合该等级要求的缺陷，只记录其中对品质影响较重的一项。感官检验记录表见附录E。</w:t>
          </w:r>
        </w:p>
        <w:p w14:paraId="37B85CA2">
          <w:pPr>
            <w:widowControl/>
            <w:spacing w:before="120" w:beforeLines="50" w:after="120" w:afterLines="50" w:line="240" w:lineRule="auto"/>
            <w:jc w:val="left"/>
            <w:rPr>
              <w:rFonts w:ascii="黑体" w:hAnsi="宋体" w:eastAsia="黑体" w:cs="黑体"/>
              <w:color w:val="000000" w:themeColor="text1"/>
              <w:kern w:val="0"/>
              <w:sz w:val="21"/>
              <w:szCs w:val="21"/>
              <w:lang w:bidi="ar"/>
              <w14:textFill>
                <w14:solidFill>
                  <w14:schemeClr w14:val="tx1"/>
                </w14:solidFill>
              </w14:textFill>
            </w:rPr>
          </w:pPr>
          <w:bookmarkStart w:id="181" w:name="_Toc28843"/>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.7.2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果实规格</w:t>
          </w:r>
          <w:bookmarkEnd w:id="181"/>
        </w:p>
        <w:p w14:paraId="36C68952">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从样品中随机抽取</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5</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个果实，用精度为</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0.01</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kg的天平称量果实重量，计算单果重</w:t>
          </w:r>
          <w:r>
            <w:rPr>
              <w:rFonts w:hint="eastAsia" w:ascii="宋体" w:hAnsi="宋体" w:cs="宋体"/>
              <w:color w:val="000000" w:themeColor="text1"/>
              <w:sz w:val="21"/>
              <w:szCs w:val="21"/>
              <w14:textFill>
                <w14:solidFill>
                  <w14:schemeClr w14:val="tx1"/>
                </w14:solidFill>
              </w14:textFill>
            </w:rPr>
            <w:t>。</w:t>
          </w:r>
        </w:p>
        <w:p w14:paraId="798ED9CA">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2" w:name="_Toc8502"/>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.7.3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理化指标</w:t>
          </w:r>
          <w:bookmarkEnd w:id="182"/>
          <w:r>
            <w:rPr>
              <w:rFonts w:hint="eastAsia" w:ascii="黑体" w:hAnsi="宋体" w:eastAsia="黑体" w:cs="黑体"/>
              <w:color w:val="000000" w:themeColor="text1"/>
              <w:kern w:val="0"/>
              <w:sz w:val="21"/>
              <w:szCs w:val="21"/>
              <w:lang w:bidi="ar"/>
              <w14:textFill>
                <w14:solidFill>
                  <w14:schemeClr w14:val="tx1"/>
                </w14:solidFill>
              </w14:textFill>
            </w:rPr>
            <w:t xml:space="preserve"> </w:t>
          </w:r>
        </w:p>
        <w:p w14:paraId="72C51D76">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3" w:name="_Toc15784"/>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.7.3</w:t>
          </w:r>
          <w:r>
            <w:rPr>
              <w:rFonts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ascii="黑体" w:hAnsi="宋体" w:eastAsia="黑体" w:cs="黑体"/>
              <w:color w:val="000000" w:themeColor="text1"/>
              <w:kern w:val="0"/>
              <w:sz w:val="21"/>
              <w:szCs w:val="21"/>
              <w:lang w:bidi="ar"/>
              <w14:textFill>
                <w14:solidFill>
                  <w14:schemeClr w14:val="tx1"/>
                </w14:solidFill>
              </w14:textFill>
            </w:rPr>
            <w:t>可溶性固形物</w:t>
          </w:r>
          <w:bookmarkEnd w:id="183"/>
        </w:p>
        <w:p w14:paraId="0F081D53">
          <w:pPr>
            <w:pStyle w:val="233"/>
            <w:rPr>
              <w:color w:val="000000" w:themeColor="text1"/>
              <w:sz w:val="21"/>
              <w:szCs w:val="21"/>
              <w14:textFill>
                <w14:solidFill>
                  <w14:schemeClr w14:val="tx1"/>
                </w14:solidFill>
              </w14:textFill>
            </w:rPr>
          </w:pPr>
          <w:r>
            <w:rPr>
              <w:color w:val="000000" w:themeColor="text1"/>
              <w:kern w:val="0"/>
              <w:sz w:val="21"/>
              <w:szCs w:val="21"/>
              <w14:textFill>
                <w14:solidFill>
                  <w14:schemeClr w14:val="tx1"/>
                </w14:solidFill>
              </w14:textFill>
            </w:rPr>
            <w:t>按照</w:t>
          </w:r>
          <w:r>
            <w:rPr>
              <w:rFonts w:hint="eastAsia"/>
              <w:color w:val="000000" w:themeColor="text1"/>
              <w:kern w:val="0"/>
              <w:sz w:val="21"/>
              <w:szCs w:val="21"/>
              <w:lang w:val="en-US" w:eastAsia="zh-CN"/>
              <w14:textFill>
                <w14:solidFill>
                  <w14:schemeClr w14:val="tx1"/>
                </w14:solidFill>
              </w14:textFill>
            </w:rPr>
            <w:t>NY</w:t>
          </w:r>
          <w:r>
            <w:rPr>
              <w:color w:val="000000" w:themeColor="text1"/>
              <w:kern w:val="0"/>
              <w:sz w:val="21"/>
              <w:szCs w:val="21"/>
              <w14:textFill>
                <w14:solidFill>
                  <w14:schemeClr w14:val="tx1"/>
                </w14:solidFill>
              </w14:textFill>
            </w:rPr>
            <w:t>/T 2637</w:t>
          </w:r>
          <w:r>
            <w:rPr>
              <w:rFonts w:hint="eastAsia"/>
              <w:color w:val="000000" w:themeColor="text1"/>
              <w:kern w:val="0"/>
              <w:sz w:val="21"/>
              <w:szCs w:val="21"/>
              <w:lang w:val="en-US" w:eastAsia="zh-CN"/>
              <w14:textFill>
                <w14:solidFill>
                  <w14:schemeClr w14:val="tx1"/>
                </w14:solidFill>
              </w14:textFill>
            </w:rPr>
            <w:t xml:space="preserve"> </w:t>
          </w:r>
          <w:r>
            <w:rPr>
              <w:color w:val="000000" w:themeColor="text1"/>
              <w:kern w:val="0"/>
              <w:sz w:val="21"/>
              <w:szCs w:val="21"/>
              <w14:textFill>
                <w14:solidFill>
                  <w14:schemeClr w14:val="tx1"/>
                </w14:solidFill>
              </w14:textFill>
            </w:rPr>
            <w:t>规定执行。</w:t>
          </w:r>
        </w:p>
        <w:p w14:paraId="4559AA88">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4" w:name="_Toc7864"/>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.7.3</w:t>
          </w:r>
          <w:r>
            <w:rPr>
              <w:rFonts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ascii="黑体" w:hAnsi="宋体" w:eastAsia="黑体" w:cs="黑体"/>
              <w:color w:val="000000" w:themeColor="text1"/>
              <w:kern w:val="0"/>
              <w:sz w:val="21"/>
              <w:szCs w:val="21"/>
              <w:lang w:bidi="ar"/>
              <w14:textFill>
                <w14:solidFill>
                  <w14:schemeClr w14:val="tx1"/>
                </w14:solidFill>
              </w14:textFill>
            </w:rPr>
            <w:t>可滴定酸</w:t>
          </w:r>
          <w:bookmarkEnd w:id="184"/>
        </w:p>
        <w:p w14:paraId="1BEFF1C9">
          <w:pPr>
            <w:pStyle w:val="233"/>
            <w:rPr>
              <w:color w:val="000000" w:themeColor="text1"/>
              <w:sz w:val="21"/>
              <w:szCs w:val="21"/>
              <w14:textFill>
                <w14:solidFill>
                  <w14:schemeClr w14:val="tx1"/>
                </w14:solidFill>
              </w14:textFill>
            </w:rPr>
          </w:pPr>
          <w:r>
            <w:rPr>
              <w:color w:val="000000" w:themeColor="text1"/>
              <w:kern w:val="0"/>
              <w:sz w:val="21"/>
              <w:szCs w:val="21"/>
              <w14:textFill>
                <w14:solidFill>
                  <w14:schemeClr w14:val="tx1"/>
                </w14:solidFill>
              </w14:textFill>
            </w:rPr>
            <w:t>按照</w:t>
          </w:r>
          <w:r>
            <w:rPr>
              <w:rFonts w:hint="eastAsia"/>
              <w:color w:val="000000" w:themeColor="text1"/>
              <w:kern w:val="0"/>
              <w:sz w:val="21"/>
              <w:szCs w:val="21"/>
              <w:lang w:val="en-US" w:eastAsia="zh-CN"/>
              <w14:textFill>
                <w14:solidFill>
                  <w14:schemeClr w14:val="tx1"/>
                </w14:solidFill>
              </w14:textFill>
            </w:rPr>
            <w:t>GB</w:t>
          </w:r>
          <w:r>
            <w:rPr>
              <w:color w:val="000000" w:themeColor="text1"/>
              <w:kern w:val="0"/>
              <w:sz w:val="21"/>
              <w:szCs w:val="21"/>
              <w14:textFill>
                <w14:solidFill>
                  <w14:schemeClr w14:val="tx1"/>
                </w14:solidFill>
              </w14:textFill>
            </w:rPr>
            <w:t xml:space="preserve"> 12456</w:t>
          </w:r>
          <w:r>
            <w:rPr>
              <w:rFonts w:hint="eastAsia"/>
              <w:color w:val="000000" w:themeColor="text1"/>
              <w:kern w:val="0"/>
              <w:sz w:val="21"/>
              <w:szCs w:val="21"/>
              <w:lang w:val="en-US" w:eastAsia="zh-CN"/>
              <w14:textFill>
                <w14:solidFill>
                  <w14:schemeClr w14:val="tx1"/>
                </w14:solidFill>
              </w14:textFill>
            </w:rPr>
            <w:t xml:space="preserve"> </w:t>
          </w:r>
          <w:r>
            <w:rPr>
              <w:color w:val="000000" w:themeColor="text1"/>
              <w:kern w:val="0"/>
              <w:sz w:val="21"/>
              <w:szCs w:val="21"/>
              <w14:textFill>
                <w14:solidFill>
                  <w14:schemeClr w14:val="tx1"/>
                </w14:solidFill>
              </w14:textFill>
            </w:rPr>
            <w:t>规定执行。</w:t>
          </w:r>
        </w:p>
        <w:p w14:paraId="5F1B5F58">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5" w:name="_Toc21210"/>
          <w:bookmarkStart w:id="186" w:name="_Toc20317"/>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.8</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检验规则</w:t>
          </w:r>
          <w:bookmarkEnd w:id="185"/>
        </w:p>
        <w:p w14:paraId="38259D11">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7" w:name="_Toc11738"/>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.8.1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检验批次</w:t>
          </w:r>
          <w:bookmarkEnd w:id="187"/>
        </w:p>
        <w:p w14:paraId="160776CF">
          <w:pPr>
            <w:widowControl/>
            <w:spacing w:line="240" w:lineRule="auto"/>
            <w:ind w:firstLine="420" w:firstLineChars="200"/>
            <w:jc w:val="left"/>
            <w:rPr>
              <w:color w:val="000000" w:themeColor="text1"/>
              <w:sz w:val="21"/>
              <w:szCs w:val="21"/>
              <w14:textFill>
                <w14:solidFill>
                  <w14:schemeClr w14:val="tx1"/>
                </w14:solidFill>
              </w14:textFill>
            </w:rPr>
          </w:pPr>
          <w:r>
            <w:rPr>
              <w:rFonts w:hint="eastAsia" w:ascii="宋体" w:hAnsi="宋体" w:cs="宋体"/>
              <w:color w:val="000000" w:themeColor="text1"/>
              <w:kern w:val="0"/>
              <w:sz w:val="21"/>
              <w:szCs w:val="21"/>
              <w:lang w:bidi="ar"/>
              <w14:textFill>
                <w14:solidFill>
                  <w14:schemeClr w14:val="tx1"/>
                </w14:solidFill>
              </w14:textFill>
            </w:rPr>
            <w:t>同一产地、同一品种、同一等级、同一天采收的菠萝蜜鲜果作为一个检验批次。</w:t>
          </w:r>
        </w:p>
        <w:p w14:paraId="3765B0AD">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8" w:name="_Toc23886"/>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.8.2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抽样方法</w:t>
          </w:r>
          <w:bookmarkEnd w:id="188"/>
        </w:p>
        <w:p w14:paraId="5337AFA4">
          <w:pPr>
            <w:widowControl/>
            <w:spacing w:line="240" w:lineRule="auto"/>
            <w:ind w:firstLine="420" w:firstLineChars="200"/>
            <w:jc w:val="left"/>
            <w:rPr>
              <w:rFonts w:ascii="宋体" w:hAnsi="宋体" w:cs="宋体"/>
              <w:color w:val="000000" w:themeColor="text1"/>
              <w:kern w:val="0"/>
              <w:sz w:val="21"/>
              <w:szCs w:val="21"/>
              <w:lang w:bidi="ar"/>
              <w14:textFill>
                <w14:solidFill>
                  <w14:schemeClr w14:val="tx1"/>
                </w14:solidFill>
              </w14:textFill>
            </w:rPr>
          </w:pPr>
          <w:r>
            <w:rPr>
              <w:rFonts w:hint="eastAsia" w:ascii="黑体" w:hAnsi="黑体" w:eastAsia="黑体" w:cs="黑体"/>
              <w:color w:val="000000" w:themeColor="text1"/>
              <w:kern w:val="0"/>
              <w:sz w:val="21"/>
              <w:szCs w:val="21"/>
              <w14:textFill>
                <w14:solidFill>
                  <w14:schemeClr w14:val="tx1"/>
                </w14:solidFill>
              </w14:textFill>
            </w:rPr>
            <w:t>按照</w:t>
          </w:r>
          <w:r>
            <w:rPr>
              <w:rFonts w:hint="eastAsia" w:ascii="黑体" w:hAnsi="黑体" w:eastAsia="黑体" w:cs="黑体"/>
              <w:color w:val="000000" w:themeColor="text1"/>
              <w:kern w:val="0"/>
              <w:sz w:val="21"/>
              <w:szCs w:val="21"/>
              <w:lang w:val="en-US" w:eastAsia="zh-CN"/>
              <w14:textFill>
                <w14:solidFill>
                  <w14:schemeClr w14:val="tx1"/>
                </w14:solidFill>
              </w14:textFill>
            </w:rPr>
            <w:t>GB</w:t>
          </w:r>
          <w:r>
            <w:rPr>
              <w:rFonts w:hint="eastAsia" w:ascii="宋体" w:hAnsi="宋体" w:cs="宋体"/>
              <w:color w:val="000000" w:themeColor="text1"/>
              <w:kern w:val="0"/>
              <w:sz w:val="21"/>
              <w:szCs w:val="21"/>
              <w14:textFill>
                <w14:solidFill>
                  <w14:schemeClr w14:val="tx1"/>
                </w14:solidFill>
              </w14:textFill>
            </w:rPr>
            <w:t>/T 8855</w:t>
          </w:r>
          <w:r>
            <w:rPr>
              <w:rFonts w:hint="eastAsia" w:ascii="宋体" w:hAnsi="宋体" w:cs="宋体"/>
              <w:color w:val="000000" w:themeColor="text1"/>
              <w:kern w:val="0"/>
              <w:sz w:val="21"/>
              <w:szCs w:val="21"/>
              <w:lang w:val="en-US" w:eastAsia="zh-CN"/>
              <w14:textFill>
                <w14:solidFill>
                  <w14:schemeClr w14:val="tx1"/>
                </w14:solidFill>
              </w14:textFill>
            </w:rPr>
            <w:t xml:space="preserve"> </w:t>
          </w:r>
          <w:r>
            <w:rPr>
              <w:rFonts w:hint="eastAsia" w:ascii="宋体" w:hAnsi="宋体" w:cs="宋体"/>
              <w:color w:val="000000" w:themeColor="text1"/>
              <w:kern w:val="0"/>
              <w:sz w:val="21"/>
              <w:szCs w:val="21"/>
              <w14:textFill>
                <w14:solidFill>
                  <w14:schemeClr w14:val="tx1"/>
                </w14:solidFill>
              </w14:textFill>
            </w:rPr>
            <w:t>规定执行。</w:t>
          </w:r>
        </w:p>
        <w:p w14:paraId="1A5A1BC5">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89" w:name="_Toc5159"/>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.9</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判定规则</w:t>
          </w:r>
          <w:bookmarkEnd w:id="186"/>
          <w:bookmarkEnd w:id="189"/>
        </w:p>
        <w:p w14:paraId="0DE80B58">
          <w:pPr>
            <w:widowControl/>
            <w:spacing w:line="240" w:lineRule="auto"/>
            <w:jc w:val="left"/>
            <w:rPr>
              <w:rFonts w:ascii="宋体" w:hAnsi="Times New Roman"/>
              <w:color w:val="000000" w:themeColor="text1"/>
              <w:kern w:val="0"/>
              <w:sz w:val="21"/>
              <w:szCs w:val="21"/>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.9.1</w:t>
          </w:r>
          <w:r>
            <w:rPr>
              <w:rFonts w:hint="eastAsia" w:ascii="宋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果品或包装材料不符合卫生要求，判定为不合格产品，并且不得复检。</w:t>
          </w:r>
        </w:p>
        <w:p w14:paraId="1A07D9FB">
          <w:pPr>
            <w:widowControl/>
            <w:spacing w:line="240" w:lineRule="auto"/>
            <w:jc w:val="left"/>
            <w:rPr>
              <w:rFonts w:ascii="宋体" w:hAnsi="Times New Roman"/>
              <w:color w:val="000000" w:themeColor="text1"/>
              <w:kern w:val="0"/>
              <w:sz w:val="21"/>
              <w:szCs w:val="21"/>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.9.2</w:t>
          </w:r>
          <w:r>
            <w:rPr>
              <w:rFonts w:hint="eastAsia" w:ascii="宋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整批产品不超过某级别规定的容许度，则判为某级别产品，若超过，则按下一级规定的容许度检验，直到判出级别为止。</w:t>
          </w:r>
        </w:p>
        <w:p w14:paraId="3A422FB3">
          <w:pPr>
            <w:widowControl/>
            <w:spacing w:line="240" w:lineRule="auto"/>
            <w:jc w:val="left"/>
            <w:rPr>
              <w:color w:val="000000" w:themeColor="text1"/>
              <w:sz w:val="21"/>
              <w:szCs w:val="21"/>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.9.3</w:t>
          </w:r>
          <w:r>
            <w:rPr>
              <w:rFonts w:hint="eastAsia" w:ascii="宋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整批产品不超过某规格规定的容许度，则判为某规格产品，若超过，则按下一规格规定的容许度检验，直到判出规格为止。</w:t>
          </w:r>
        </w:p>
        <w:p w14:paraId="182CC4BD">
          <w:pPr>
            <w:widowControl/>
            <w:spacing w:line="240" w:lineRule="auto"/>
            <w:jc w:val="left"/>
            <w:rPr>
              <w:rFonts w:ascii="宋体" w:hAnsi="Times New Roman"/>
              <w:color w:val="000000" w:themeColor="text1"/>
              <w:kern w:val="0"/>
              <w:sz w:val="21"/>
              <w:szCs w:val="21"/>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.9.4</w:t>
          </w:r>
          <w:r>
            <w:rPr>
              <w:rFonts w:hint="eastAsia" w:ascii="宋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如果容许度超出“合格品”的范围，则判为不合格产品。</w:t>
          </w:r>
        </w:p>
        <w:p w14:paraId="088450EB">
          <w:pPr>
            <w:widowControl/>
            <w:spacing w:line="240" w:lineRule="auto"/>
            <w:jc w:val="left"/>
            <w:rPr>
              <w:rFonts w:ascii="宋体" w:hAnsi="Times New Roman"/>
              <w:color w:val="000000" w:themeColor="text1"/>
              <w:kern w:val="0"/>
              <w:sz w:val="21"/>
              <w:szCs w:val="21"/>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.9.5</w:t>
          </w:r>
          <w:r>
            <w:rPr>
              <w:rFonts w:hint="eastAsia" w:ascii="宋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无标志或有标志但缺“等级”内容，判定为未分级产品。</w:t>
          </w:r>
        </w:p>
        <w:p w14:paraId="5720FB12">
          <w:pPr>
            <w:widowControl/>
            <w:spacing w:line="240" w:lineRule="auto"/>
            <w:jc w:val="left"/>
            <w:rPr>
              <w:rFonts w:ascii="宋体" w:hAnsi="Times New Roman"/>
              <w:color w:val="000000" w:themeColor="text1"/>
              <w:kern w:val="0"/>
              <w:sz w:val="21"/>
              <w:szCs w:val="21"/>
              <w14:textFill>
                <w14:solidFill>
                  <w14:schemeClr w14:val="tx1"/>
                </w14:solidFill>
              </w14:textFill>
            </w:rPr>
          </w:pP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.9.6</w:t>
          </w:r>
          <w:r>
            <w:rPr>
              <w:rFonts w:hint="eastAsia" w:ascii="黑体" w:hAnsi="黑体" w:eastAsia="黑体" w:cs="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对于有特殊要求的按双方合同规定执行。</w:t>
          </w:r>
        </w:p>
        <w:p w14:paraId="274CC81E">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90" w:name="_Toc17155"/>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1</w:t>
          </w:r>
          <w:r>
            <w:rPr>
              <w:rFonts w:hint="eastAsia" w:ascii="黑体" w:hAnsi="宋体" w:eastAsia="黑体" w:cs="黑体"/>
              <w:color w:val="000000" w:themeColor="text1"/>
              <w:kern w:val="0"/>
              <w:sz w:val="21"/>
              <w:szCs w:val="21"/>
              <w:lang w:bidi="ar"/>
              <w14:textFill>
                <w14:solidFill>
                  <w14:schemeClr w14:val="tx1"/>
                </w14:solidFill>
              </w14:textFill>
            </w:rPr>
            <w:t>.</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.10</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复检</w:t>
          </w:r>
          <w:bookmarkEnd w:id="190"/>
        </w:p>
        <w:p w14:paraId="47A5F3ED">
          <w:pPr>
            <w:widowControl/>
            <w:spacing w:line="240" w:lineRule="auto"/>
            <w:ind w:firstLine="420" w:firstLineChars="200"/>
            <w:jc w:val="left"/>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除卫生指标及包装材料外，如果对检测结果产生异议，允许用备用样品（或条件允许可再抽一次样）复检一次，复检结果为最终结果。</w:t>
          </w:r>
        </w:p>
        <w:p w14:paraId="448B9A72">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91" w:name="_Toc28181"/>
          <w:bookmarkStart w:id="192" w:name="_Toc13728"/>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包装与标识</w:t>
          </w:r>
          <w:bookmarkEnd w:id="191"/>
          <w:bookmarkEnd w:id="192"/>
        </w:p>
        <w:p w14:paraId="3AB0EEF7">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93" w:name="_Toc6566"/>
          <w:bookmarkStart w:id="194" w:name="_Toc22045"/>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包装</w:t>
          </w:r>
          <w:bookmarkEnd w:id="193"/>
          <w:bookmarkEnd w:id="194"/>
        </w:p>
        <w:p w14:paraId="30CC549F">
          <w:pPr>
            <w:widowControl/>
            <w:spacing w:line="240" w:lineRule="auto"/>
            <w:jc w:val="left"/>
            <w:rPr>
              <w:rFonts w:ascii="宋体" w:hAnsi="宋体" w:cs="宋体"/>
              <w:color w:val="000000" w:themeColor="text1"/>
              <w:kern w:val="0"/>
              <w:sz w:val="21"/>
              <w:szCs w:val="21"/>
              <w:lang w:bidi="ar"/>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Times New Roman" w:eastAsia="黑体"/>
              <w:color w:val="000000" w:themeColor="text1"/>
              <w:kern w:val="0"/>
              <w:sz w:val="21"/>
              <w:szCs w:val="21"/>
              <w14:textFill>
                <w14:solidFill>
                  <w14:schemeClr w14:val="tx1"/>
                </w14:solidFill>
              </w14:textFill>
            </w:rPr>
            <w:t>.1.1</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同一包装内产品的等级、品种、来源应一致，如有例外要特别说明。</w:t>
          </w:r>
        </w:p>
        <w:p w14:paraId="29D717E7">
          <w:pPr>
            <w:widowControl/>
            <w:spacing w:line="240" w:lineRule="auto"/>
            <w:jc w:val="left"/>
            <w:rPr>
              <w:rFonts w:ascii="宋体" w:hAnsi="宋体" w:cs="宋体"/>
              <w:color w:val="000000" w:themeColor="text1"/>
              <w:kern w:val="0"/>
              <w:sz w:val="21"/>
              <w:szCs w:val="21"/>
              <w:lang w:bidi="ar"/>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Times New Roman" w:eastAsia="黑体"/>
              <w:color w:val="000000" w:themeColor="text1"/>
              <w:kern w:val="0"/>
              <w:sz w:val="21"/>
              <w:szCs w:val="21"/>
              <w14:textFill>
                <w14:solidFill>
                  <w14:schemeClr w14:val="tx1"/>
                </w14:solidFill>
              </w14:textFill>
            </w:rPr>
            <w:t>.1.2</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包装设计应符合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 xml:space="preserve"> 43284、GB/T 12123</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的规定，缓冲包装设计应符合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/T 8166</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的规定。包装容器通用技术要求符合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/T 34343、GB/T 34344</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规定，包装材质应符合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 xml:space="preserve"> 4806.7</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和</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/T 6543。塑料箱应符合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/T 5737</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的规定，纸箱应符合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/T 6543</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的规定，共挤膜（袋）应符合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/T 28117的规定。接触用塑料材料及制品应符合</w:t>
          </w:r>
          <w:r>
            <w:rPr>
              <w:rFonts w:hint="eastAsia" w:ascii="宋体" w:hAnsi="宋体" w:cs="宋体"/>
              <w:color w:val="000000" w:themeColor="text1"/>
              <w:kern w:val="0"/>
              <w:sz w:val="21"/>
              <w:szCs w:val="21"/>
              <w:lang w:val="en-US" w:eastAsia="zh-CN" w:bidi="ar"/>
              <w14:textFill>
                <w14:solidFill>
                  <w14:schemeClr w14:val="tx1"/>
                </w14:solidFill>
              </w14:textFill>
            </w:rPr>
            <w:t>GB</w:t>
          </w:r>
          <w:r>
            <w:rPr>
              <w:rFonts w:hint="eastAsia" w:ascii="宋体" w:hAnsi="宋体" w:cs="宋体"/>
              <w:color w:val="000000" w:themeColor="text1"/>
              <w:kern w:val="0"/>
              <w:sz w:val="21"/>
              <w:szCs w:val="21"/>
              <w:lang w:bidi="ar"/>
              <w14:textFill>
                <w14:solidFill>
                  <w14:schemeClr w14:val="tx1"/>
                </w14:solidFill>
              </w14:textFill>
            </w:rPr>
            <w:t>4806.7</w:t>
          </w:r>
          <w:r>
            <w:rPr>
              <w:rFonts w:hint="eastAsia" w:ascii="宋体" w:hAnsi="宋体" w:cs="宋体"/>
              <w:color w:val="000000" w:themeColor="text1"/>
              <w:kern w:val="0"/>
              <w:sz w:val="21"/>
              <w:szCs w:val="21"/>
              <w:lang w:val="en-US" w:eastAsia="zh-CN" w:bidi="ar"/>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的规定。</w:t>
          </w:r>
        </w:p>
        <w:p w14:paraId="3BBCBEFA">
          <w:pPr>
            <w:widowControl/>
            <w:spacing w:line="240" w:lineRule="auto"/>
            <w:jc w:val="left"/>
            <w:rPr>
              <w:rFonts w:ascii="宋体" w:hAnsi="宋体" w:cs="宋体"/>
              <w:color w:val="000000" w:themeColor="text1"/>
              <w:kern w:val="0"/>
              <w:sz w:val="21"/>
              <w:szCs w:val="21"/>
              <w:lang w:bidi="ar"/>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Times New Roman" w:eastAsia="黑体"/>
              <w:color w:val="000000" w:themeColor="text1"/>
              <w:kern w:val="0"/>
              <w:sz w:val="21"/>
              <w:szCs w:val="21"/>
              <w14:textFill>
                <w14:solidFill>
                  <w14:schemeClr w14:val="tx1"/>
                </w14:solidFill>
              </w14:textFill>
            </w:rPr>
            <w:t>.1.3</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根据市场需求、运输方式、贮运时间等因素确定包装方式和包装容量。</w:t>
          </w:r>
        </w:p>
        <w:p w14:paraId="52F7504A">
          <w:pPr>
            <w:widowControl/>
            <w:spacing w:line="240" w:lineRule="auto"/>
            <w:jc w:val="left"/>
            <w:rPr>
              <w:rFonts w:ascii="宋体" w:hAnsi="宋体" w:cs="宋体"/>
              <w:color w:val="000000" w:themeColor="text1"/>
              <w:kern w:val="0"/>
              <w:sz w:val="21"/>
              <w:szCs w:val="21"/>
              <w:lang w:bidi="ar"/>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Times New Roman" w:eastAsia="黑体"/>
              <w:color w:val="000000" w:themeColor="text1"/>
              <w:kern w:val="0"/>
              <w:sz w:val="21"/>
              <w:szCs w:val="21"/>
              <w14:textFill>
                <w14:solidFill>
                  <w14:schemeClr w14:val="tx1"/>
                </w14:solidFill>
              </w14:textFill>
            </w:rPr>
            <w:t>.1.4</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宋体" w:cs="宋体"/>
              <w:color w:val="000000" w:themeColor="text1"/>
              <w:kern w:val="0"/>
              <w:sz w:val="21"/>
              <w:szCs w:val="21"/>
              <w:lang w:bidi="ar"/>
              <w14:textFill>
                <w14:solidFill>
                  <w14:schemeClr w14:val="tx1"/>
                </w14:solidFill>
              </w14:textFill>
            </w:rPr>
            <w:t>内包装与外包装之间可加入干净的冰袋、冰瓶等用于保鲜，但应确保冷凝水分不渗透到外包装。</w:t>
          </w:r>
        </w:p>
        <w:p w14:paraId="74D00E0E">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95" w:name="_Toc30930"/>
          <w:bookmarkStart w:id="196" w:name="_Toc29117"/>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2</w:t>
          </w:r>
          <w:r>
            <w:rPr>
              <w:rFonts w:hint="eastAsia" w:ascii="黑体" w:hAnsi="宋体" w:eastAsia="黑体" w:cs="黑体"/>
              <w:color w:val="000000" w:themeColor="text1"/>
              <w:kern w:val="0"/>
              <w:sz w:val="21"/>
              <w:szCs w:val="21"/>
              <w:lang w:bidi="ar"/>
              <w14:textFill>
                <w14:solidFill>
                  <w14:schemeClr w14:val="tx1"/>
                </w14:solidFill>
              </w14:textFill>
            </w:rPr>
            <w:t>.2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标识</w:t>
          </w:r>
          <w:bookmarkEnd w:id="195"/>
          <w:bookmarkEnd w:id="196"/>
        </w:p>
        <w:p w14:paraId="6CB833DB">
          <w:pPr>
            <w:pStyle w:val="26"/>
            <w:widowControl/>
            <w:spacing w:beforeAutospacing="0" w:afterAutospacing="0" w:line="240" w:lineRule="auto"/>
            <w:rPr>
              <w:rFonts w:ascii="宋体" w:hAnsi="Times New Roman"/>
              <w:color w:val="000000" w:themeColor="text1"/>
              <w:kern w:val="0"/>
              <w:sz w:val="21"/>
              <w:szCs w:val="21"/>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w:t>
          </w:r>
          <w:r>
            <w:rPr>
              <w:rFonts w:hint="eastAsia" w:ascii="黑体" w:hAnsi="Times New Roman" w:eastAsia="黑体"/>
              <w:color w:val="000000" w:themeColor="text1"/>
              <w:kern w:val="0"/>
              <w:sz w:val="21"/>
              <w:szCs w:val="21"/>
              <w:lang w:val="en-US" w:eastAsia="zh-CN"/>
              <w14:textFill>
                <w14:solidFill>
                  <w14:schemeClr w14:val="tx1"/>
                </w14:solidFill>
              </w14:textFill>
            </w:rPr>
            <w:t>2</w:t>
          </w:r>
          <w:r>
            <w:rPr>
              <w:rFonts w:hint="eastAsia" w:ascii="黑体" w:hAnsi="Times New Roman" w:eastAsia="黑体"/>
              <w:color w:val="000000" w:themeColor="text1"/>
              <w:kern w:val="0"/>
              <w:sz w:val="21"/>
              <w:szCs w:val="21"/>
              <w14:textFill>
                <w14:solidFill>
                  <w14:schemeClr w14:val="tx1"/>
                </w14:solidFill>
              </w14:textFill>
            </w:rPr>
            <w:t>.2.1</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包装上应有明显标识，符合</w:t>
          </w:r>
          <w:r>
            <w:rPr>
              <w:rFonts w:hint="eastAsia" w:ascii="宋体" w:hAnsi="Times New Roman"/>
              <w:color w:val="000000" w:themeColor="text1"/>
              <w:kern w:val="0"/>
              <w:sz w:val="21"/>
              <w:szCs w:val="21"/>
              <w:lang w:val="en-US" w:eastAsia="zh-CN"/>
              <w14:textFill>
                <w14:solidFill>
                  <w14:schemeClr w14:val="tx1"/>
                </w14:solidFill>
              </w14:textFill>
            </w:rPr>
            <w:t>NY</w:t>
          </w:r>
          <w:r>
            <w:rPr>
              <w:rFonts w:hint="eastAsia" w:ascii="宋体" w:hAnsi="Times New Roman"/>
              <w:color w:val="000000" w:themeColor="text1"/>
              <w:kern w:val="0"/>
              <w:sz w:val="21"/>
              <w:szCs w:val="21"/>
              <w14:textFill>
                <w14:solidFill>
                  <w14:schemeClr w14:val="tx1"/>
                </w14:solidFill>
              </w14:textFill>
            </w:rPr>
            <w:t>/T 1778</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的规定</w:t>
          </w:r>
          <w:r>
            <w:rPr>
              <w:rFonts w:hint="eastAsia" w:hAnsi="Times New Roman"/>
              <w:color w:val="000000" w:themeColor="text1"/>
              <w:kern w:val="0"/>
              <w:sz w:val="21"/>
              <w:szCs w:val="21"/>
              <w14:textFill>
                <w14:solidFill>
                  <w14:schemeClr w14:val="tx1"/>
                </w14:solidFill>
              </w14:textFill>
            </w:rPr>
            <w:t>，</w:t>
          </w:r>
          <w:r>
            <w:rPr>
              <w:rFonts w:hint="eastAsia" w:ascii="宋体" w:hAnsi="Times New Roman"/>
              <w:color w:val="000000" w:themeColor="text1"/>
              <w:kern w:val="0"/>
              <w:sz w:val="21"/>
              <w:szCs w:val="21"/>
              <w14:textFill>
                <w14:solidFill>
                  <w14:schemeClr w14:val="tx1"/>
                </w14:solidFill>
              </w14:textFill>
            </w:rPr>
            <w:t>要求字迹清晰、完整、准确，且不易褪色、无渗漏，标注于包装的外侧。</w:t>
          </w:r>
        </w:p>
        <w:p w14:paraId="71AA53AA">
          <w:pPr>
            <w:pStyle w:val="26"/>
            <w:widowControl/>
            <w:spacing w:beforeAutospacing="0" w:afterAutospacing="0" w:line="240" w:lineRule="auto"/>
            <w:rPr>
              <w:rFonts w:hAnsi="Times New Roman"/>
              <w:color w:val="000000" w:themeColor="text1"/>
              <w:kern w:val="0"/>
              <w:sz w:val="21"/>
              <w:szCs w:val="21"/>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w:t>
          </w:r>
          <w:r>
            <w:rPr>
              <w:rFonts w:hint="eastAsia" w:ascii="黑体" w:hAnsi="Times New Roman" w:eastAsia="黑体"/>
              <w:color w:val="000000" w:themeColor="text1"/>
              <w:kern w:val="0"/>
              <w:sz w:val="21"/>
              <w:szCs w:val="21"/>
              <w:lang w:val="en-US" w:eastAsia="zh-CN"/>
              <w14:textFill>
                <w14:solidFill>
                  <w14:schemeClr w14:val="tx1"/>
                </w14:solidFill>
              </w14:textFill>
            </w:rPr>
            <w:t>2</w:t>
          </w:r>
          <w:r>
            <w:rPr>
              <w:rFonts w:hint="eastAsia" w:ascii="黑体" w:hAnsi="Times New Roman" w:eastAsia="黑体"/>
              <w:color w:val="000000" w:themeColor="text1"/>
              <w:kern w:val="0"/>
              <w:sz w:val="21"/>
              <w:szCs w:val="21"/>
              <w14:textFill>
                <w14:solidFill>
                  <w14:schemeClr w14:val="tx1"/>
                </w14:solidFill>
              </w14:textFill>
            </w:rPr>
            <w:t>.2.2</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标识内容应</w:t>
          </w:r>
          <w:r>
            <w:rPr>
              <w:rFonts w:hint="eastAsia" w:hAnsi="Times New Roman"/>
              <w:color w:val="000000" w:themeColor="text1"/>
              <w:kern w:val="0"/>
              <w:sz w:val="21"/>
              <w:szCs w:val="21"/>
              <w14:textFill>
                <w14:solidFill>
                  <w14:schemeClr w14:val="tx1"/>
                </w14:solidFill>
              </w14:textFill>
            </w:rPr>
            <w:t>包括：产品合格证、检测单、产品证书、产品追溯标识等，其中产品证书应含有以下基本信息：</w:t>
          </w:r>
        </w:p>
        <w:p w14:paraId="2E588B62">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产品名称、品种、商标；</w:t>
          </w:r>
        </w:p>
        <w:p w14:paraId="15E7F45D">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生产单位名称、产地详细地址、邮编和联系电话；</w:t>
          </w:r>
        </w:p>
        <w:p w14:paraId="7E964B61">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等级和规格；</w:t>
          </w:r>
        </w:p>
        <w:p w14:paraId="66D6BFE6">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产品净重；</w:t>
          </w:r>
        </w:p>
        <w:p w14:paraId="578CB78A">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采收与发货日期；</w:t>
          </w:r>
        </w:p>
        <w:p w14:paraId="4C6A12EE">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储存条件；</w:t>
          </w:r>
        </w:p>
        <w:p w14:paraId="1C652096">
          <w:pPr>
            <w:pStyle w:val="26"/>
            <w:widowControl/>
            <w:numPr>
              <w:ilvl w:val="0"/>
              <w:numId w:val="33"/>
            </w:numPr>
            <w:spacing w:beforeAutospacing="0" w:afterAutospacing="0" w:line="240" w:lineRule="auto"/>
            <w:ind w:firstLine="420" w:firstLineChars="200"/>
            <w:rPr>
              <w:rFonts w:hint="eastAsia" w:ascii="宋体" w:hAnsi="宋体" w:eastAsia="宋体" w:cs="宋体"/>
              <w:color w:val="000000" w:themeColor="text1"/>
              <w:kern w:val="0"/>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产品执行标准号。</w:t>
          </w:r>
        </w:p>
        <w:p w14:paraId="6E9FD216">
          <w:pPr>
            <w:pStyle w:val="26"/>
            <w:widowControl/>
            <w:spacing w:beforeAutospacing="0" w:afterAutospacing="0" w:line="240" w:lineRule="auto"/>
            <w:rPr>
              <w:rFonts w:ascii="宋体" w:hAnsi="Times New Roman"/>
              <w:color w:val="000000" w:themeColor="text1"/>
              <w:kern w:val="0"/>
              <w:sz w:val="21"/>
              <w:szCs w:val="21"/>
              <w14:textFill>
                <w14:solidFill>
                  <w14:schemeClr w14:val="tx1"/>
                </w14:solidFill>
              </w14:textFill>
            </w:rPr>
          </w:pPr>
          <w:r>
            <w:rPr>
              <w:rFonts w:hint="eastAsia" w:ascii="黑体" w:hAnsi="Times New Roman" w:eastAsia="黑体"/>
              <w:color w:val="000000" w:themeColor="text1"/>
              <w:kern w:val="0"/>
              <w:sz w:val="21"/>
              <w:szCs w:val="21"/>
              <w14:textFill>
                <w14:solidFill>
                  <w14:schemeClr w14:val="tx1"/>
                </w14:solidFill>
              </w14:textFill>
            </w:rPr>
            <w:t>13.2.3</w:t>
          </w:r>
          <w:r>
            <w:rPr>
              <w:rFonts w:hint="eastAsia" w:ascii="黑体" w:hAnsi="Times New Roman" w:eastAsia="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所用图示标志应符合</w:t>
          </w:r>
          <w:r>
            <w:rPr>
              <w:rFonts w:hint="eastAsia" w:ascii="宋体" w:hAnsi="Times New Roman"/>
              <w:color w:val="000000" w:themeColor="text1"/>
              <w:kern w:val="0"/>
              <w:sz w:val="21"/>
              <w:szCs w:val="21"/>
              <w:lang w:eastAsia="zh-CN"/>
              <w14:textFill>
                <w14:solidFill>
                  <w14:schemeClr w14:val="tx1"/>
                </w14:solidFill>
              </w14:textFill>
            </w:rPr>
            <w:t>GB</w:t>
          </w:r>
          <w:r>
            <w:rPr>
              <w:rFonts w:hint="eastAsia" w:ascii="宋体" w:hAnsi="Times New Roman"/>
              <w:color w:val="000000" w:themeColor="text1"/>
              <w:kern w:val="0"/>
              <w:sz w:val="21"/>
              <w:szCs w:val="21"/>
              <w14:textFill>
                <w14:solidFill>
                  <w14:schemeClr w14:val="tx1"/>
                </w14:solidFill>
              </w14:textFill>
            </w:rPr>
            <w:t>/T 191</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的规定。</w:t>
          </w:r>
        </w:p>
        <w:p w14:paraId="044B8DA8">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97" w:name="_Toc2688"/>
          <w:bookmarkStart w:id="198" w:name="_Toc13668"/>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贮藏与运输</w:t>
          </w:r>
          <w:bookmarkEnd w:id="197"/>
          <w:bookmarkEnd w:id="198"/>
        </w:p>
        <w:p w14:paraId="61861CA7">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199" w:name="_Toc5396"/>
          <w:bookmarkStart w:id="200" w:name="_Toc12748"/>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贮藏</w:t>
          </w:r>
          <w:bookmarkEnd w:id="199"/>
          <w:bookmarkEnd w:id="200"/>
        </w:p>
        <w:p w14:paraId="71061C77">
          <w:pPr>
            <w:pStyle w:val="26"/>
            <w:widowControl/>
            <w:spacing w:beforeAutospacing="0" w:afterAutospacing="0" w:line="240" w:lineRule="auto"/>
            <w:ind w:firstLine="420" w:firstLineChars="200"/>
            <w:rPr>
              <w:rFonts w:ascii="宋体" w:hAnsi="Times New Roman"/>
              <w:color w:val="000000" w:themeColor="text1"/>
              <w:kern w:val="0"/>
              <w:sz w:val="21"/>
              <w:szCs w:val="21"/>
              <w14:textFill>
                <w14:solidFill>
                  <w14:schemeClr w14:val="tx1"/>
                </w14:solidFill>
              </w14:textFill>
            </w:rPr>
          </w:pPr>
          <w:r>
            <w:rPr>
              <w:rFonts w:hint="eastAsia" w:ascii="宋体" w:hAnsi="Times New Roman"/>
              <w:color w:val="000000" w:themeColor="text1"/>
              <w:kern w:val="0"/>
              <w:sz w:val="21"/>
              <w:szCs w:val="21"/>
              <w14:textFill>
                <w14:solidFill>
                  <w14:schemeClr w14:val="tx1"/>
                </w14:solidFill>
              </w14:textFill>
            </w:rPr>
            <w:t>最适宜贮藏条</w:t>
          </w:r>
          <w:r>
            <w:rPr>
              <w:rFonts w:hint="eastAsia" w:ascii="宋体" w:hAnsi="宋体" w:cs="宋体"/>
              <w:color w:val="000000" w:themeColor="text1"/>
              <w:kern w:val="0"/>
              <w:sz w:val="21"/>
              <w:szCs w:val="21"/>
              <w14:textFill>
                <w14:solidFill>
                  <w14:schemeClr w14:val="tx1"/>
                </w14:solidFill>
              </w14:textFill>
            </w:rPr>
            <w:t>件为</w:t>
          </w:r>
          <w:r>
            <w:rPr>
              <w:rFonts w:hint="eastAsia" w:ascii="宋体" w:hAnsi="宋体" w:cs="宋体"/>
              <w:color w:val="000000" w:themeColor="text1"/>
              <w:kern w:val="0"/>
              <w:sz w:val="21"/>
              <w:szCs w:val="21"/>
              <w:lang w:val="en-US" w:eastAsia="zh-CN"/>
              <w14:textFill>
                <w14:solidFill>
                  <w14:schemeClr w14:val="tx1"/>
                </w14:solidFill>
              </w14:textFill>
            </w:rPr>
            <w:t xml:space="preserve"> </w:t>
          </w:r>
          <w:r>
            <w:rPr>
              <w:rFonts w:hint="eastAsia" w:ascii="宋体" w:hAnsi="宋体" w:cs="宋体"/>
              <w:color w:val="000000" w:themeColor="text1"/>
              <w:kern w:val="0"/>
              <w:sz w:val="21"/>
              <w:szCs w:val="21"/>
              <w14:textFill>
                <w14:solidFill>
                  <w14:schemeClr w14:val="tx1"/>
                </w14:solidFill>
              </w14:textFill>
            </w:rPr>
            <w:t>11</w:t>
          </w:r>
          <w:r>
            <w:rPr>
              <w:rFonts w:hint="eastAsia" w:ascii="宋体" w:hAnsi="宋体" w:cs="宋体"/>
              <w:color w:val="000000" w:themeColor="text1"/>
              <w:kern w:val="0"/>
              <w:sz w:val="21"/>
              <w:szCs w:val="21"/>
              <w:lang w:val="en-US" w:eastAsia="zh-CN"/>
              <w14:textFill>
                <w14:solidFill>
                  <w14:schemeClr w14:val="tx1"/>
                </w14:solidFill>
              </w14:textFill>
            </w:rPr>
            <w:t xml:space="preserve"> </w:t>
          </w:r>
          <w:r>
            <w:rPr>
              <w:rFonts w:hint="eastAsia" w:ascii="宋体" w:hAnsi="宋体" w:cs="宋体"/>
              <w:color w:val="000000" w:themeColor="text1"/>
              <w:kern w:val="0"/>
              <w:sz w:val="21"/>
              <w:szCs w:val="21"/>
              <w14:textFill>
                <w14:solidFill>
                  <w14:schemeClr w14:val="tx1"/>
                </w14:solidFill>
              </w14:textFill>
            </w:rPr>
            <w:t>℃～13</w:t>
          </w:r>
          <w:r>
            <w:rPr>
              <w:rFonts w:hint="eastAsia" w:ascii="宋体" w:hAnsi="宋体" w:cs="宋体"/>
              <w:color w:val="000000" w:themeColor="text1"/>
              <w:kern w:val="0"/>
              <w:sz w:val="21"/>
              <w:szCs w:val="21"/>
              <w:lang w:val="en-US" w:eastAsia="zh-CN"/>
              <w14:textFill>
                <w14:solidFill>
                  <w14:schemeClr w14:val="tx1"/>
                </w14:solidFill>
              </w14:textFill>
            </w:rPr>
            <w:t xml:space="preserve"> </w:t>
          </w:r>
          <w:r>
            <w:rPr>
              <w:rFonts w:hint="eastAsia" w:ascii="宋体" w:hAnsi="宋体" w:cs="宋体"/>
              <w:color w:val="000000" w:themeColor="text1"/>
              <w:kern w:val="0"/>
              <w:sz w:val="21"/>
              <w:szCs w:val="21"/>
              <w14:textFill>
                <w14:solidFill>
                  <w14:schemeClr w14:val="tx1"/>
                </w14:solidFill>
              </w14:textFill>
            </w:rPr>
            <w:t>℃，相对</w:t>
          </w:r>
          <w:r>
            <w:rPr>
              <w:rFonts w:hint="eastAsia" w:ascii="宋体" w:hAnsi="Times New Roman"/>
              <w:color w:val="000000" w:themeColor="text1"/>
              <w:kern w:val="0"/>
              <w:sz w:val="21"/>
              <w:szCs w:val="21"/>
              <w14:textFill>
                <w14:solidFill>
                  <w14:schemeClr w14:val="tx1"/>
                </w14:solidFill>
              </w14:textFill>
            </w:rPr>
            <w:t>湿度保持在</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85%～90%</w:t>
          </w:r>
          <w:r>
            <w:rPr>
              <w:color w:val="000000" w:themeColor="text1"/>
              <w:sz w:val="21"/>
              <w:szCs w:val="21"/>
              <w14:textFill>
                <w14:solidFill>
                  <w14:schemeClr w14:val="tx1"/>
                </w14:solidFill>
              </w14:textFill>
            </w:rPr>
            <w:t> </w:t>
          </w:r>
          <w:r>
            <w:rPr>
              <w:rFonts w:hint="eastAsia" w:ascii="宋体" w:hAnsi="Times New Roman"/>
              <w:color w:val="000000" w:themeColor="text1"/>
              <w:kern w:val="0"/>
              <w:sz w:val="21"/>
              <w:szCs w:val="21"/>
              <w14:textFill>
                <w14:solidFill>
                  <w14:schemeClr w14:val="tx1"/>
                </w14:solidFill>
              </w14:textFill>
            </w:rPr>
            <w:t>为宜</w:t>
          </w:r>
          <w:r>
            <w:rPr>
              <w:rFonts w:hint="eastAsia" w:hAnsi="Times New Roman"/>
              <w:color w:val="000000" w:themeColor="text1"/>
              <w:kern w:val="0"/>
              <w:sz w:val="21"/>
              <w:szCs w:val="21"/>
              <w14:textFill>
                <w14:solidFill>
                  <w14:schemeClr w14:val="tx1"/>
                </w14:solidFill>
              </w14:textFill>
            </w:rPr>
            <w:t>，</w:t>
          </w:r>
          <w:r>
            <w:rPr>
              <w:rFonts w:hint="eastAsia" w:ascii="宋体" w:hAnsi="Times New Roman"/>
              <w:color w:val="000000" w:themeColor="text1"/>
              <w:kern w:val="0"/>
              <w:sz w:val="21"/>
              <w:szCs w:val="21"/>
              <w14:textFill>
                <w14:solidFill>
                  <w14:schemeClr w14:val="tx1"/>
                </w14:solidFill>
              </w14:textFill>
            </w:rPr>
            <w:t>贮藏期</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20</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d～30</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d，根据品种的耐贮性、市场需求和经济效益确定贮藏时间，但不宜超过最长时限，自然损耗率不超过</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5%，贮藏后应基本保持果实的外观和风味。</w:t>
          </w:r>
        </w:p>
        <w:p w14:paraId="127EED5B">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201" w:name="_Toc3829"/>
          <w:bookmarkStart w:id="202" w:name="_Toc1449"/>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3</w:t>
          </w:r>
          <w:r>
            <w:rPr>
              <w:rFonts w:hint="eastAsia" w:ascii="黑体" w:hAnsi="宋体" w:eastAsia="黑体" w:cs="黑体"/>
              <w:color w:val="000000" w:themeColor="text1"/>
              <w:kern w:val="0"/>
              <w:sz w:val="21"/>
              <w:szCs w:val="21"/>
              <w:lang w:bidi="ar"/>
              <w14:textFill>
                <w14:solidFill>
                  <w14:schemeClr w14:val="tx1"/>
                </w14:solidFill>
              </w14:textFill>
            </w:rPr>
            <w:t>.2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运输</w:t>
          </w:r>
          <w:bookmarkEnd w:id="201"/>
          <w:bookmarkEnd w:id="202"/>
        </w:p>
        <w:p w14:paraId="2A6473BB">
          <w:pPr>
            <w:pStyle w:val="26"/>
            <w:widowControl/>
            <w:spacing w:beforeAutospacing="0" w:afterAutospacing="0" w:line="240" w:lineRule="auto"/>
            <w:rPr>
              <w:rFonts w:ascii="宋体" w:hAnsi="Times New Roman"/>
              <w:color w:val="000000" w:themeColor="text1"/>
              <w:kern w:val="0"/>
              <w:sz w:val="21"/>
              <w:szCs w:val="21"/>
              <w14:textFill>
                <w14:solidFill>
                  <w14:schemeClr w14:val="tx1"/>
                </w14:solidFill>
              </w14:textFill>
            </w:rPr>
          </w:pPr>
          <w:r>
            <w:rPr>
              <w:rFonts w:hint="eastAsia" w:ascii="黑体" w:hAnsi="黑体" w:eastAsia="黑体" w:cs="黑体"/>
              <w:color w:val="000000" w:themeColor="text1"/>
              <w:kern w:val="0"/>
              <w:sz w:val="21"/>
              <w:szCs w:val="21"/>
              <w14:textFill>
                <w14:solidFill>
                  <w14:schemeClr w14:val="tx1"/>
                </w14:solidFill>
              </w14:textFill>
            </w:rPr>
            <w:t>1</w:t>
          </w:r>
          <w:r>
            <w:rPr>
              <w:rFonts w:hint="eastAsia" w:ascii="黑体" w:hAnsi="黑体" w:eastAsia="黑体" w:cs="黑体"/>
              <w:color w:val="000000" w:themeColor="text1"/>
              <w:kern w:val="0"/>
              <w:sz w:val="21"/>
              <w:szCs w:val="21"/>
              <w:lang w:val="en-US" w:eastAsia="zh-CN"/>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.2.1</w:t>
          </w:r>
          <w:r>
            <w:rPr>
              <w:rFonts w:hint="eastAsia" w:ascii="黑体" w:hAnsi="黑体" w:eastAsia="黑体" w:cs="黑体"/>
              <w:color w:val="000000" w:themeColor="text1"/>
              <w:kern w:val="0"/>
              <w:sz w:val="21"/>
              <w:szCs w:val="21"/>
              <w:lang w:eastAsia="zh-CN"/>
              <w14:textFill>
                <w14:solidFill>
                  <w14:schemeClr w14:val="tx1"/>
                </w14:solidFill>
              </w14:textFill>
            </w:rPr>
            <w:t xml:space="preserve"> </w:t>
          </w:r>
          <w:r>
            <w:rPr>
              <w:rFonts w:ascii="宋体" w:hAnsi="Times New Roman"/>
              <w:color w:val="000000" w:themeColor="text1"/>
              <w:kern w:val="0"/>
              <w:sz w:val="21"/>
              <w:szCs w:val="21"/>
              <w14:textFill>
                <w14:solidFill>
                  <w14:schemeClr w14:val="tx1"/>
                </w14:solidFill>
              </w14:textFill>
            </w:rPr>
            <w:t>运输工具应清洁、卫生、无污染、无杂物，具有防晒、防雨、</w:t>
          </w:r>
          <w:r>
            <w:rPr>
              <w:rFonts w:hint="eastAsia" w:ascii="宋体" w:hAnsi="Times New Roman"/>
              <w:color w:val="000000" w:themeColor="text1"/>
              <w:kern w:val="0"/>
              <w:sz w:val="21"/>
              <w:szCs w:val="21"/>
              <w14:textFill>
                <w14:solidFill>
                  <w14:schemeClr w14:val="tx1"/>
                </w14:solidFill>
              </w14:textFill>
            </w:rPr>
            <w:t>防挤压功能</w:t>
          </w:r>
          <w:r>
            <w:rPr>
              <w:rFonts w:ascii="宋体" w:hAnsi="Times New Roman"/>
              <w:color w:val="000000" w:themeColor="text1"/>
              <w:kern w:val="0"/>
              <w:sz w:val="21"/>
              <w:szCs w:val="21"/>
              <w14:textFill>
                <w14:solidFill>
                  <w14:schemeClr w14:val="tx1"/>
                </w14:solidFill>
              </w14:textFill>
            </w:rPr>
            <w:t>。</w:t>
          </w:r>
        </w:p>
        <w:p w14:paraId="6AB8A532">
          <w:pPr>
            <w:pStyle w:val="26"/>
            <w:widowControl/>
            <w:spacing w:beforeAutospacing="0" w:afterAutospacing="0" w:line="240" w:lineRule="auto"/>
            <w:rPr>
              <w:rFonts w:ascii="宋体" w:hAnsi="Times New Roman"/>
              <w:color w:val="000000" w:themeColor="text1"/>
              <w:kern w:val="0"/>
              <w:sz w:val="21"/>
              <w:szCs w:val="21"/>
              <w14:textFill>
                <w14:solidFill>
                  <w14:schemeClr w14:val="tx1"/>
                </w14:solidFill>
              </w14:textFill>
            </w:rPr>
          </w:pPr>
          <w:r>
            <w:rPr>
              <w:rFonts w:hint="eastAsia" w:ascii="黑体" w:hAnsi="黑体" w:eastAsia="黑体" w:cs="黑体"/>
              <w:color w:val="000000" w:themeColor="text1"/>
              <w:kern w:val="0"/>
              <w:sz w:val="21"/>
              <w:szCs w:val="21"/>
              <w14:textFill>
                <w14:solidFill>
                  <w14:schemeClr w14:val="tx1"/>
                </w14:solidFill>
              </w14:textFill>
            </w:rPr>
            <w:t>1</w:t>
          </w:r>
          <w:r>
            <w:rPr>
              <w:rFonts w:hint="eastAsia" w:ascii="黑体" w:hAnsi="黑体" w:eastAsia="黑体" w:cs="黑体"/>
              <w:color w:val="000000" w:themeColor="text1"/>
              <w:kern w:val="0"/>
              <w:sz w:val="21"/>
              <w:szCs w:val="21"/>
              <w:lang w:val="en-US" w:eastAsia="zh-CN"/>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.2.2</w:t>
          </w:r>
          <w:r>
            <w:rPr>
              <w:rFonts w:hint="eastAsia" w:ascii="黑体" w:hAnsi="黑体" w:eastAsia="黑体" w:cs="黑体"/>
              <w:color w:val="000000" w:themeColor="text1"/>
              <w:kern w:val="0"/>
              <w:sz w:val="21"/>
              <w:szCs w:val="21"/>
              <w:lang w:eastAsia="zh-CN"/>
              <w14:textFill>
                <w14:solidFill>
                  <w14:schemeClr w14:val="tx1"/>
                </w14:solidFill>
              </w14:textFill>
            </w:rPr>
            <w:t xml:space="preserve"> </w:t>
          </w:r>
          <w:r>
            <w:rPr>
              <w:rFonts w:ascii="宋体" w:hAnsi="Times New Roman"/>
              <w:color w:val="000000" w:themeColor="text1"/>
              <w:kern w:val="0"/>
              <w:sz w:val="21"/>
              <w:szCs w:val="21"/>
              <w14:textFill>
                <w14:solidFill>
                  <w14:schemeClr w14:val="tx1"/>
                </w14:solidFill>
              </w14:textFill>
            </w:rPr>
            <w:t>短途运输或利用空运等快速运输条件，贮运时间在</w:t>
          </w:r>
          <w:r>
            <w:rPr>
              <w:rFonts w:hint="eastAsia"/>
              <w:color w:val="000000" w:themeColor="text1"/>
              <w:sz w:val="21"/>
              <w:szCs w:val="21"/>
              <w:lang w:eastAsia="zh-CN"/>
              <w14:textFill>
                <w14:solidFill>
                  <w14:schemeClr w14:val="tx1"/>
                </w14:solidFill>
              </w14:textFill>
            </w:rPr>
            <w:t xml:space="preserve"> </w:t>
          </w:r>
          <w:r>
            <w:rPr>
              <w:rFonts w:ascii="宋体" w:hAnsi="Times New Roman"/>
              <w:color w:val="000000" w:themeColor="text1"/>
              <w:kern w:val="0"/>
              <w:sz w:val="21"/>
              <w:szCs w:val="21"/>
              <w14:textFill>
                <w14:solidFill>
                  <w14:schemeClr w14:val="tx1"/>
                </w14:solidFill>
              </w14:textFill>
            </w:rPr>
            <w:t>24</w:t>
          </w:r>
          <w:r>
            <w:rPr>
              <w:rFonts w:hint="eastAsia"/>
              <w:color w:val="000000" w:themeColor="text1"/>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h</w:t>
          </w:r>
          <w:r>
            <w:rPr>
              <w:rFonts w:ascii="宋体" w:hAnsi="Times New Roman"/>
              <w:color w:val="000000" w:themeColor="text1"/>
              <w:kern w:val="0"/>
              <w:sz w:val="21"/>
              <w:szCs w:val="21"/>
              <w14:textFill>
                <w14:solidFill>
                  <w14:schemeClr w14:val="tx1"/>
                </w14:solidFill>
              </w14:textFill>
            </w:rPr>
            <w:t>之内者，允许在常温条件下进行；超过</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ascii="宋体" w:hAnsi="Times New Roman"/>
              <w:color w:val="000000" w:themeColor="text1"/>
              <w:kern w:val="0"/>
              <w:sz w:val="21"/>
              <w:szCs w:val="21"/>
              <w14:textFill>
                <w14:solidFill>
                  <w14:schemeClr w14:val="tx1"/>
                </w14:solidFill>
              </w14:textFill>
            </w:rPr>
            <w:t xml:space="preserve">24 </w:t>
          </w:r>
          <w:r>
            <w:rPr>
              <w:rFonts w:hint="eastAsia" w:ascii="宋体" w:hAnsi="Times New Roman"/>
              <w:color w:val="000000" w:themeColor="text1"/>
              <w:kern w:val="0"/>
              <w:sz w:val="21"/>
              <w:szCs w:val="21"/>
              <w14:textFill>
                <w14:solidFill>
                  <w14:schemeClr w14:val="tx1"/>
                </w14:solidFill>
              </w14:textFill>
            </w:rPr>
            <w:t>h</w:t>
          </w:r>
          <w:r>
            <w:rPr>
              <w:rFonts w:ascii="宋体" w:hAnsi="Times New Roman"/>
              <w:color w:val="000000" w:themeColor="text1"/>
              <w:kern w:val="0"/>
              <w:sz w:val="21"/>
              <w:szCs w:val="21"/>
              <w14:textFill>
                <w14:solidFill>
                  <w14:schemeClr w14:val="tx1"/>
                </w14:solidFill>
              </w14:textFill>
            </w:rPr>
            <w:t>以上者应经过预冷并在</w:t>
          </w:r>
          <w:r>
            <w:rPr>
              <w:rFonts w:hint="eastAsia" w:hAnsi="Times New Roman"/>
              <w:color w:val="000000" w:themeColor="text1"/>
              <w:kern w:val="0"/>
              <w:sz w:val="21"/>
              <w:szCs w:val="21"/>
              <w14:textFill>
                <w14:solidFill>
                  <w14:schemeClr w14:val="tx1"/>
                </w14:solidFill>
              </w14:textFill>
            </w:rPr>
            <w:t>冷链</w:t>
          </w:r>
          <w:r>
            <w:rPr>
              <w:rFonts w:ascii="宋体" w:hAnsi="Times New Roman"/>
              <w:color w:val="000000" w:themeColor="text1"/>
              <w:kern w:val="0"/>
              <w:sz w:val="21"/>
              <w:szCs w:val="21"/>
              <w14:textFill>
                <w14:solidFill>
                  <w14:schemeClr w14:val="tx1"/>
                </w14:solidFill>
              </w14:textFill>
            </w:rPr>
            <w:t>条件下进行</w:t>
          </w:r>
          <w:r>
            <w:rPr>
              <w:rFonts w:hint="eastAsia" w:ascii="宋体" w:hAnsi="Times New Roman"/>
              <w:color w:val="000000" w:themeColor="text1"/>
              <w:kern w:val="0"/>
              <w:sz w:val="21"/>
              <w:szCs w:val="21"/>
              <w14:textFill>
                <w14:solidFill>
                  <w14:schemeClr w14:val="tx1"/>
                </w14:solidFill>
              </w14:textFill>
            </w:rPr>
            <w:t>运输</w:t>
          </w:r>
          <w:r>
            <w:rPr>
              <w:rFonts w:ascii="宋体" w:hAnsi="Times New Roman"/>
              <w:color w:val="000000" w:themeColor="text1"/>
              <w:kern w:val="0"/>
              <w:sz w:val="21"/>
              <w:szCs w:val="21"/>
              <w14:textFill>
                <w14:solidFill>
                  <w14:schemeClr w14:val="tx1"/>
                </w14:solidFill>
              </w14:textFill>
            </w:rPr>
            <w:t>。</w:t>
          </w:r>
        </w:p>
        <w:p w14:paraId="48A66E51">
          <w:pPr>
            <w:pStyle w:val="26"/>
            <w:widowControl/>
            <w:spacing w:beforeAutospacing="0" w:afterAutospacing="0" w:line="240" w:lineRule="auto"/>
            <w:rPr>
              <w:rFonts w:ascii="宋体" w:hAnsi="Times New Roman"/>
              <w:color w:val="000000" w:themeColor="text1"/>
              <w:kern w:val="0"/>
              <w:sz w:val="21"/>
              <w:szCs w:val="21"/>
              <w14:textFill>
                <w14:solidFill>
                  <w14:schemeClr w14:val="tx1"/>
                </w14:solidFill>
              </w14:textFill>
            </w:rPr>
          </w:pPr>
          <w:r>
            <w:rPr>
              <w:rFonts w:hint="eastAsia" w:ascii="黑体" w:hAnsi="黑体" w:eastAsia="黑体" w:cs="黑体"/>
              <w:color w:val="000000" w:themeColor="text1"/>
              <w:kern w:val="0"/>
              <w:sz w:val="21"/>
              <w:szCs w:val="21"/>
              <w14:textFill>
                <w14:solidFill>
                  <w14:schemeClr w14:val="tx1"/>
                </w14:solidFill>
              </w14:textFill>
            </w:rPr>
            <w:t>1</w:t>
          </w:r>
          <w:r>
            <w:rPr>
              <w:rFonts w:hint="eastAsia" w:ascii="黑体" w:hAnsi="黑体" w:eastAsia="黑体" w:cs="黑体"/>
              <w:color w:val="000000" w:themeColor="text1"/>
              <w:kern w:val="0"/>
              <w:sz w:val="21"/>
              <w:szCs w:val="21"/>
              <w:lang w:val="en-US" w:eastAsia="zh-CN"/>
              <w14:textFill>
                <w14:solidFill>
                  <w14:schemeClr w14:val="tx1"/>
                </w14:solidFill>
              </w14:textFill>
            </w:rPr>
            <w:t>3</w:t>
          </w:r>
          <w:r>
            <w:rPr>
              <w:rFonts w:hint="eastAsia" w:ascii="黑体" w:hAnsi="黑体" w:eastAsia="黑体" w:cs="黑体"/>
              <w:color w:val="000000" w:themeColor="text1"/>
              <w:kern w:val="0"/>
              <w:sz w:val="21"/>
              <w:szCs w:val="21"/>
              <w14:textFill>
                <w14:solidFill>
                  <w14:schemeClr w14:val="tx1"/>
                </w14:solidFill>
              </w14:textFill>
            </w:rPr>
            <w:t>.2.3</w:t>
          </w:r>
          <w:r>
            <w:rPr>
              <w:rFonts w:hint="eastAsia" w:ascii="黑体" w:hAnsi="黑体" w:eastAsia="黑体" w:cs="黑体"/>
              <w:color w:val="000000" w:themeColor="text1"/>
              <w:kern w:val="0"/>
              <w:sz w:val="21"/>
              <w:szCs w:val="21"/>
              <w:lang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其他符合</w:t>
          </w:r>
          <w:r>
            <w:rPr>
              <w:rFonts w:hint="eastAsia" w:ascii="宋体" w:hAnsi="Times New Roman"/>
              <w:color w:val="000000" w:themeColor="text1"/>
              <w:kern w:val="0"/>
              <w:sz w:val="21"/>
              <w:szCs w:val="21"/>
              <w:lang w:val="en-US" w:eastAsia="zh-CN"/>
              <w14:textFill>
                <w14:solidFill>
                  <w14:schemeClr w14:val="tx1"/>
                </w14:solidFill>
              </w14:textFill>
            </w:rPr>
            <w:t>GB</w:t>
          </w:r>
          <w:r>
            <w:rPr>
              <w:rFonts w:hint="eastAsia" w:ascii="宋体" w:hAnsi="Times New Roman"/>
              <w:color w:val="000000" w:themeColor="text1"/>
              <w:kern w:val="0"/>
              <w:sz w:val="21"/>
              <w:szCs w:val="21"/>
              <w14:textFill>
                <w14:solidFill>
                  <w14:schemeClr w14:val="tx1"/>
                </w14:solidFill>
              </w14:textFill>
            </w:rPr>
            <w:t>/T 33129</w:t>
          </w:r>
          <w:r>
            <w:rPr>
              <w:rFonts w:hint="eastAsia" w:ascii="宋体" w:hAnsi="Times New Roman"/>
              <w:color w:val="000000" w:themeColor="text1"/>
              <w:kern w:val="0"/>
              <w:sz w:val="21"/>
              <w:szCs w:val="21"/>
              <w:lang w:val="en-US" w:eastAsia="zh-CN"/>
              <w14:textFill>
                <w14:solidFill>
                  <w14:schemeClr w14:val="tx1"/>
                </w14:solidFill>
              </w14:textFill>
            </w:rPr>
            <w:t xml:space="preserve"> </w:t>
          </w:r>
          <w:r>
            <w:rPr>
              <w:rFonts w:hint="eastAsia" w:ascii="宋体" w:hAnsi="Times New Roman"/>
              <w:color w:val="000000" w:themeColor="text1"/>
              <w:kern w:val="0"/>
              <w:sz w:val="21"/>
              <w:szCs w:val="21"/>
              <w14:textFill>
                <w14:solidFill>
                  <w14:schemeClr w14:val="tx1"/>
                </w14:solidFill>
              </w14:textFill>
            </w:rPr>
            <w:t>的规定。</w:t>
          </w:r>
        </w:p>
        <w:p w14:paraId="05FFFFBF">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203" w:name="_Toc6198"/>
          <w:bookmarkStart w:id="204" w:name="_Toc2140"/>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4</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产品检测与准出管理</w:t>
          </w:r>
          <w:bookmarkEnd w:id="203"/>
          <w:r>
            <w:rPr>
              <w:rFonts w:hint="eastAsia" w:ascii="黑体" w:hAnsi="宋体" w:eastAsia="黑体" w:cs="黑体"/>
              <w:color w:val="000000" w:themeColor="text1"/>
              <w:kern w:val="0"/>
              <w:sz w:val="21"/>
              <w:szCs w:val="21"/>
              <w:lang w:bidi="ar"/>
              <w14:textFill>
                <w14:solidFill>
                  <w14:schemeClr w14:val="tx1"/>
                </w14:solidFill>
              </w14:textFill>
            </w:rPr>
            <w:t xml:space="preserve"> </w:t>
          </w:r>
        </w:p>
        <w:p w14:paraId="49030599">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205" w:name="_Toc5704"/>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4</w:t>
          </w:r>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安全监测</w:t>
          </w:r>
          <w:bookmarkEnd w:id="205"/>
        </w:p>
        <w:p w14:paraId="13FA95CD">
          <w:pPr>
            <w:widowControl/>
            <w:spacing w:line="240" w:lineRule="auto"/>
            <w:ind w:firstLine="420" w:firstLineChars="200"/>
            <w:jc w:val="left"/>
            <w:rPr>
              <w:color w:val="000000" w:themeColor="text1"/>
              <w:sz w:val="21"/>
              <w:szCs w:val="21"/>
              <w14:textFill>
                <w14:solidFill>
                  <w14:schemeClr w14:val="tx1"/>
                </w14:solidFill>
              </w14:textFill>
            </w:rPr>
          </w:pPr>
          <w:r>
            <w:rPr>
              <w:rFonts w:hint="eastAsia" w:ascii="宋体" w:hAnsi="宋体" w:cs="宋体"/>
              <w:color w:val="000000" w:themeColor="text1"/>
              <w:kern w:val="0"/>
              <w:sz w:val="21"/>
              <w:szCs w:val="21"/>
              <w:lang w:bidi="ar"/>
              <w14:textFill>
                <w14:solidFill>
                  <w14:schemeClr w14:val="tx1"/>
                </w14:solidFill>
              </w14:textFill>
            </w:rPr>
            <w:t>加强菠萝蜜整个生产周期的质量安全监测，通过抽样检测重点监测生产过程是否使用禁用农药，采收期是否存在常规农药残留超标和是否遵守安全间隔期等情况。在批发市场或收购集散中心、出岛码头对菠萝蜜进行抽样检测。</w:t>
          </w:r>
        </w:p>
        <w:p w14:paraId="0F519D70">
          <w:pPr>
            <w:widowControl/>
            <w:spacing w:before="120" w:beforeLines="50" w:after="120" w:afterLines="50" w:line="240" w:lineRule="auto"/>
            <w:jc w:val="left"/>
            <w:outlineLvl w:val="1"/>
            <w:rPr>
              <w:rFonts w:ascii="黑体" w:hAnsi="宋体" w:eastAsia="黑体" w:cs="黑体"/>
              <w:color w:val="000000" w:themeColor="text1"/>
              <w:kern w:val="0"/>
              <w:sz w:val="21"/>
              <w:szCs w:val="21"/>
              <w:lang w:bidi="ar"/>
              <w14:textFill>
                <w14:solidFill>
                  <w14:schemeClr w14:val="tx1"/>
                </w14:solidFill>
              </w14:textFill>
            </w:rPr>
          </w:pPr>
          <w:bookmarkStart w:id="206" w:name="_Toc27730"/>
          <w:r>
            <w:rPr>
              <w:rFonts w:hint="eastAsia" w:ascii="黑体" w:hAnsi="宋体" w:eastAsia="黑体" w:cs="黑体"/>
              <w:color w:val="000000" w:themeColor="text1"/>
              <w:kern w:val="0"/>
              <w:sz w:val="21"/>
              <w:szCs w:val="21"/>
              <w:lang w:bidi="ar"/>
              <w14:textFill>
                <w14:solidFill>
                  <w14:schemeClr w14:val="tx1"/>
                </w14:solidFill>
              </w14:textFill>
            </w:rPr>
            <w:t>1</w:t>
          </w:r>
          <w:r>
            <w:rPr>
              <w:rFonts w:hint="eastAsia" w:ascii="黑体" w:hAnsi="宋体" w:eastAsia="黑体" w:cs="黑体"/>
              <w:color w:val="000000" w:themeColor="text1"/>
              <w:kern w:val="0"/>
              <w:sz w:val="21"/>
              <w:szCs w:val="21"/>
              <w:lang w:val="en-US" w:eastAsia="zh-CN" w:bidi="ar"/>
              <w14:textFill>
                <w14:solidFill>
                  <w14:schemeClr w14:val="tx1"/>
                </w14:solidFill>
              </w14:textFill>
            </w:rPr>
            <w:t>4</w:t>
          </w:r>
          <w:r>
            <w:rPr>
              <w:rFonts w:hint="eastAsia" w:ascii="黑体" w:hAnsi="宋体" w:eastAsia="黑体" w:cs="黑体"/>
              <w:color w:val="000000" w:themeColor="text1"/>
              <w:kern w:val="0"/>
              <w:sz w:val="21"/>
              <w:szCs w:val="21"/>
              <w:lang w:bidi="ar"/>
              <w14:textFill>
                <w14:solidFill>
                  <w14:schemeClr w14:val="tx1"/>
                </w14:solidFill>
              </w14:textFill>
            </w:rPr>
            <w:t>.2</w:t>
          </w:r>
          <w:r>
            <w:rPr>
              <w:rFonts w:hint="eastAsia" w:ascii="黑体" w:hAnsi="宋体" w:eastAsia="黑体" w:cs="黑体"/>
              <w:color w:val="000000" w:themeColor="text1"/>
              <w:kern w:val="0"/>
              <w:sz w:val="21"/>
              <w:szCs w:val="21"/>
              <w:lang w:eastAsia="zh-CN" w:bidi="ar"/>
              <w14:textFill>
                <w14:solidFill>
                  <w14:schemeClr w14:val="tx1"/>
                </w14:solidFill>
              </w14:textFill>
            </w:rPr>
            <w:t xml:space="preserve"> </w:t>
          </w:r>
          <w:r>
            <w:rPr>
              <w:rFonts w:hint="eastAsia" w:ascii="黑体" w:hAnsi="宋体" w:eastAsia="黑体" w:cs="黑体"/>
              <w:color w:val="000000" w:themeColor="text1"/>
              <w:kern w:val="0"/>
              <w:sz w:val="21"/>
              <w:szCs w:val="21"/>
              <w:lang w:bidi="ar"/>
              <w14:textFill>
                <w14:solidFill>
                  <w14:schemeClr w14:val="tx1"/>
                </w14:solidFill>
              </w14:textFill>
            </w:rPr>
            <w:t>精准检测</w:t>
          </w:r>
          <w:bookmarkEnd w:id="206"/>
          <w:r>
            <w:rPr>
              <w:rFonts w:hint="eastAsia" w:ascii="黑体" w:hAnsi="宋体" w:eastAsia="黑体" w:cs="黑体"/>
              <w:color w:val="000000" w:themeColor="text1"/>
              <w:kern w:val="0"/>
              <w:sz w:val="21"/>
              <w:szCs w:val="21"/>
              <w:lang w:bidi="ar"/>
              <w14:textFill>
                <w14:solidFill>
                  <w14:schemeClr w14:val="tx1"/>
                </w14:solidFill>
              </w14:textFill>
            </w:rPr>
            <w:t xml:space="preserve"> </w:t>
          </w:r>
        </w:p>
        <w:p w14:paraId="49117B7F">
          <w:pPr>
            <w:widowControl/>
            <w:spacing w:line="240" w:lineRule="auto"/>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 xml:space="preserve">根据菠萝蜜的检验规则和要求，对果品的感官、品质、等级、规格及卫生指标等进行精准检测。检测合格的，开具检测结果报告单；检测不合格的菠萝蜜，集中销毁处理。 </w:t>
          </w:r>
        </w:p>
        <w:p w14:paraId="3EBB9E9D">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07" w:name="_Toc12329"/>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4</w:t>
          </w:r>
          <w:r>
            <w:rPr>
              <w:rFonts w:hint="eastAsia" w:ascii="黑体" w:hAnsi="宋体" w:eastAsia="黑体" w:cs="黑体"/>
              <w:color w:val="000000" w:themeColor="text1"/>
              <w:kern w:val="0"/>
              <w:lang w:bidi="ar"/>
              <w14:textFill>
                <w14:solidFill>
                  <w14:schemeClr w14:val="tx1"/>
                </w14:solidFill>
              </w14:textFill>
            </w:rPr>
            <w:t>.3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承诺达标合格证</w:t>
          </w:r>
          <w:bookmarkEnd w:id="207"/>
          <w:r>
            <w:rPr>
              <w:rFonts w:hint="eastAsia" w:ascii="黑体" w:hAnsi="宋体" w:eastAsia="黑体" w:cs="黑体"/>
              <w:color w:val="000000" w:themeColor="text1"/>
              <w:kern w:val="0"/>
              <w:lang w:bidi="ar"/>
              <w14:textFill>
                <w14:solidFill>
                  <w14:schemeClr w14:val="tx1"/>
                </w14:solidFill>
              </w14:textFill>
            </w:rPr>
            <w:t xml:space="preserve"> </w:t>
          </w:r>
        </w:p>
        <w:p w14:paraId="3EC0C0F5">
          <w:pPr>
            <w:widowControl/>
            <w:spacing w:line="240" w:lineRule="auto"/>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检测合格后，由生产单位（个人）和收购单位（个人）开具承诺达标合格证，承诺不使用禁用农药、使用的常规农药残留不超标、对承诺的真实性负责，标明溯源编码、菠萝蜜品种、数量（重量）、产地、生产单位（个人）名称及联系电话、开具日期等内容，并由生产单位（个人）签名（盖章）。</w:t>
          </w:r>
        </w:p>
        <w:p w14:paraId="03B73B45">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08" w:name="_Toc11952"/>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4</w:t>
          </w:r>
          <w:r>
            <w:rPr>
              <w:rFonts w:hint="eastAsia" w:ascii="黑体" w:hAnsi="宋体" w:eastAsia="黑体" w:cs="黑体"/>
              <w:color w:val="000000" w:themeColor="text1"/>
              <w:kern w:val="0"/>
              <w:lang w:bidi="ar"/>
              <w14:textFill>
                <w14:solidFill>
                  <w14:schemeClr w14:val="tx1"/>
                </w14:solidFill>
              </w14:textFill>
            </w:rPr>
            <w:t>.4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果品销售</w:t>
          </w:r>
          <w:bookmarkEnd w:id="208"/>
          <w:r>
            <w:rPr>
              <w:rFonts w:hint="eastAsia" w:ascii="黑体" w:hAnsi="宋体" w:eastAsia="黑体" w:cs="黑体"/>
              <w:color w:val="000000" w:themeColor="text1"/>
              <w:kern w:val="0"/>
              <w:lang w:bidi="ar"/>
              <w14:textFill>
                <w14:solidFill>
                  <w14:schemeClr w14:val="tx1"/>
                </w14:solidFill>
              </w14:textFill>
            </w:rPr>
            <w:t xml:space="preserve"> </w:t>
          </w:r>
        </w:p>
        <w:p w14:paraId="27696563">
          <w:pPr>
            <w:widowControl/>
            <w:spacing w:line="240" w:lineRule="auto"/>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菠萝蜜凭检测结果报告单和承诺达标合格证进入市场销售。批发市场、收购集散中心、出岛码头等应建立健全检测结果报告单和承诺达标合格证查验制度。</w:t>
          </w:r>
        </w:p>
        <w:p w14:paraId="11635DF6">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09" w:name="_Toc16677"/>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5</w:t>
          </w:r>
          <w:bookmarkEnd w:id="204"/>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溯源管理</w:t>
          </w:r>
          <w:bookmarkEnd w:id="209"/>
        </w:p>
        <w:p w14:paraId="2C18556C">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0" w:name="_Toc23325"/>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5</w:t>
          </w:r>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追溯目标和要求</w:t>
          </w:r>
          <w:bookmarkEnd w:id="210"/>
        </w:p>
        <w:p w14:paraId="3C91ECC5">
          <w:pPr>
            <w:pStyle w:val="26"/>
            <w:widowControl/>
            <w:spacing w:beforeAutospacing="0" w:afterAutospacing="0" w:line="240" w:lineRule="auto"/>
            <w:ind w:firstLine="420" w:firstLineChars="200"/>
            <w:rPr>
              <w:rFonts w:ascii="宋体" w:hAnsi="Times New Roman"/>
              <w:color w:val="000000" w:themeColor="text1"/>
              <w:kern w:val="0"/>
              <w:sz w:val="21"/>
              <w14:textFill>
                <w14:solidFill>
                  <w14:schemeClr w14:val="tx1"/>
                </w14:solidFill>
              </w14:textFill>
            </w:rPr>
          </w:pPr>
          <w:r>
            <w:rPr>
              <w:rFonts w:hint="eastAsia" w:ascii="宋体" w:hAnsi="Times New Roman"/>
              <w:color w:val="000000" w:themeColor="text1"/>
              <w:kern w:val="0"/>
              <w:sz w:val="21"/>
              <w14:textFill>
                <w14:solidFill>
                  <w14:schemeClr w14:val="tx1"/>
                </w14:solidFill>
              </w14:textFill>
            </w:rPr>
            <w:t>被追溯的</w:t>
          </w:r>
          <w:r>
            <w:rPr>
              <w:rFonts w:hint="eastAsia" w:hAnsi="Times New Roman"/>
              <w:color w:val="000000" w:themeColor="text1"/>
              <w:kern w:val="0"/>
              <w:sz w:val="21"/>
              <w14:textFill>
                <w14:solidFill>
                  <w14:schemeClr w14:val="tx1"/>
                </w14:solidFill>
              </w14:textFill>
            </w:rPr>
            <w:t>菠萝蜜</w:t>
          </w:r>
          <w:r>
            <w:rPr>
              <w:rFonts w:hint="eastAsia" w:ascii="宋体" w:hAnsi="Times New Roman"/>
              <w:color w:val="000000" w:themeColor="text1"/>
              <w:kern w:val="0"/>
              <w:sz w:val="21"/>
              <w14:textFill>
                <w14:solidFill>
                  <w14:schemeClr w14:val="tx1"/>
                </w14:solidFill>
              </w14:textFill>
            </w:rPr>
            <w:t>可根据追溯码追溯到</w:t>
          </w:r>
          <w:r>
            <w:rPr>
              <w:rFonts w:hint="eastAsia" w:hAnsi="Times New Roman"/>
              <w:color w:val="000000" w:themeColor="text1"/>
              <w:kern w:val="0"/>
              <w:sz w:val="21"/>
              <w14:textFill>
                <w14:solidFill>
                  <w14:schemeClr w14:val="tx1"/>
                </w14:solidFill>
              </w14:textFill>
            </w:rPr>
            <w:t>菠萝蜜</w:t>
          </w:r>
          <w:r>
            <w:rPr>
              <w:rFonts w:hint="eastAsia" w:ascii="宋体" w:hAnsi="Times New Roman"/>
              <w:color w:val="000000" w:themeColor="text1"/>
              <w:kern w:val="0"/>
              <w:sz w:val="21"/>
              <w14:textFill>
                <w14:solidFill>
                  <w14:schemeClr w14:val="tx1"/>
                </w14:solidFill>
              </w14:textFill>
            </w:rPr>
            <w:t>的种植、管理、投入品信息及相关责任主体、采后处理、贮存、运输、销售等环节。追溯要求按照</w:t>
          </w:r>
          <w:r>
            <w:rPr>
              <w:rFonts w:hint="eastAsia" w:ascii="宋体" w:hAnsi="Times New Roman"/>
              <w:color w:val="000000" w:themeColor="text1"/>
              <w:kern w:val="0"/>
              <w:sz w:val="21"/>
              <w:lang w:eastAsia="zh-CN"/>
              <w14:textFill>
                <w14:solidFill>
                  <w14:schemeClr w14:val="tx1"/>
                </w14:solidFill>
              </w14:textFill>
            </w:rPr>
            <w:t>GB</w:t>
          </w:r>
          <w:r>
            <w:rPr>
              <w:rFonts w:hint="eastAsia" w:ascii="宋体" w:hAnsi="Times New Roman"/>
              <w:color w:val="000000" w:themeColor="text1"/>
              <w:kern w:val="0"/>
              <w:sz w:val="21"/>
              <w14:textFill>
                <w14:solidFill>
                  <w14:schemeClr w14:val="tx1"/>
                </w14:solidFill>
              </w14:textFill>
            </w:rPr>
            <w:t>/T 29373 的规定执行。</w:t>
          </w:r>
        </w:p>
        <w:p w14:paraId="453527EB">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1" w:name="_Toc26334"/>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5</w:t>
          </w:r>
          <w:r>
            <w:rPr>
              <w:rFonts w:hint="eastAsia" w:ascii="黑体" w:hAnsi="宋体" w:eastAsia="黑体" w:cs="黑体"/>
              <w:color w:val="000000" w:themeColor="text1"/>
              <w:kern w:val="0"/>
              <w:lang w:bidi="ar"/>
              <w14:textFill>
                <w14:solidFill>
                  <w14:schemeClr w14:val="tx1"/>
                </w14:solidFill>
              </w14:textFill>
            </w:rPr>
            <w:t>.2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追溯标识</w:t>
          </w:r>
          <w:bookmarkEnd w:id="211"/>
        </w:p>
        <w:p w14:paraId="234940DC">
          <w:pPr>
            <w:pStyle w:val="26"/>
            <w:widowControl/>
            <w:spacing w:beforeAutospacing="0" w:afterAutospacing="0" w:line="240" w:lineRule="auto"/>
            <w:ind w:firstLine="420" w:firstLineChars="200"/>
            <w:rPr>
              <w:rFonts w:hAnsi="Times New Roman"/>
              <w:color w:val="000000" w:themeColor="text1"/>
              <w:kern w:val="0"/>
              <w:sz w:val="21"/>
              <w14:textFill>
                <w14:solidFill>
                  <w14:schemeClr w14:val="tx1"/>
                </w14:solidFill>
              </w14:textFill>
            </w:rPr>
          </w:pPr>
          <w:r>
            <w:rPr>
              <w:rFonts w:hint="eastAsia" w:ascii="宋体" w:hAnsi="Times New Roman"/>
              <w:color w:val="000000" w:themeColor="text1"/>
              <w:kern w:val="0"/>
              <w:sz w:val="21"/>
              <w14:textFill>
                <w14:solidFill>
                  <w14:schemeClr w14:val="tx1"/>
                </w14:solidFill>
              </w14:textFill>
            </w:rPr>
            <w:t>追溯标识的载体形式为纸质的凭证、一维条码、二维条码或带有信息的各种标识。信息内容应包括：品名、生产者、产地、生产日期、包装日期、经销商、运输方式、承诺达标合格证、保质期、联系方式、规格、等级等，追溯码含有访问路径。追溯标识按</w:t>
          </w:r>
          <w:r>
            <w:rPr>
              <w:rFonts w:hint="eastAsia" w:ascii="宋体" w:hAnsi="Times New Roman"/>
              <w:color w:val="000000" w:themeColor="text1"/>
              <w:kern w:val="0"/>
              <w:sz w:val="21"/>
              <w:lang w:eastAsia="zh-CN"/>
              <w14:textFill>
                <w14:solidFill>
                  <w14:schemeClr w14:val="tx1"/>
                </w14:solidFill>
              </w14:textFill>
            </w:rPr>
            <w:t>NY</w:t>
          </w:r>
          <w:r>
            <w:rPr>
              <w:rFonts w:hint="eastAsia" w:ascii="宋体" w:hAnsi="Times New Roman"/>
              <w:color w:val="000000" w:themeColor="text1"/>
              <w:kern w:val="0"/>
              <w:sz w:val="21"/>
              <w14:textFill>
                <w14:solidFill>
                  <w14:schemeClr w14:val="tx1"/>
                </w14:solidFill>
              </w14:textFill>
            </w:rPr>
            <w:t>/T 1761 的规定执行</w:t>
          </w:r>
          <w:r>
            <w:rPr>
              <w:rFonts w:hint="eastAsia" w:hAnsi="Times New Roman"/>
              <w:color w:val="000000" w:themeColor="text1"/>
              <w:kern w:val="0"/>
              <w:sz w:val="21"/>
              <w14:textFill>
                <w14:solidFill>
                  <w14:schemeClr w14:val="tx1"/>
                </w14:solidFill>
              </w14:textFill>
            </w:rPr>
            <w:t>。</w:t>
          </w:r>
        </w:p>
        <w:p w14:paraId="4C49ED45">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2" w:name="_Toc3472"/>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5</w:t>
          </w:r>
          <w:r>
            <w:rPr>
              <w:rFonts w:hint="eastAsia" w:ascii="黑体" w:hAnsi="宋体" w:eastAsia="黑体" w:cs="黑体"/>
              <w:color w:val="000000" w:themeColor="text1"/>
              <w:kern w:val="0"/>
              <w:lang w:bidi="ar"/>
              <w14:textFill>
                <w14:solidFill>
                  <w14:schemeClr w14:val="tx1"/>
                </w14:solidFill>
              </w14:textFill>
            </w:rPr>
            <w:t>.3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溯源编码</w:t>
          </w:r>
          <w:bookmarkEnd w:id="212"/>
          <w:r>
            <w:rPr>
              <w:rFonts w:hint="eastAsia" w:ascii="黑体" w:hAnsi="宋体" w:eastAsia="黑体" w:cs="黑体"/>
              <w:color w:val="000000" w:themeColor="text1"/>
              <w:kern w:val="0"/>
              <w:lang w:bidi="ar"/>
              <w14:textFill>
                <w14:solidFill>
                  <w14:schemeClr w14:val="tx1"/>
                </w14:solidFill>
              </w14:textFill>
            </w:rPr>
            <w:t xml:space="preserve"> </w:t>
          </w:r>
        </w:p>
        <w:p w14:paraId="4B20567E">
          <w:pPr>
            <w:widowControl/>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编码内容包括产地编码、地块编码、种植者编码、采摘批次编码、采后处理地点和批次编码、包装批次编码、贮存设施与批次编码、运输设施与批次编码、销售编码等。编码方法按照</w:t>
          </w:r>
          <w:r>
            <w:rPr>
              <w:rFonts w:hint="eastAsia" w:ascii="宋体" w:hAnsi="宋体" w:cs="宋体"/>
              <w:color w:val="000000" w:themeColor="text1"/>
              <w:kern w:val="0"/>
              <w:lang w:eastAsia="zh-CN" w:bidi="ar"/>
              <w14:textFill>
                <w14:solidFill>
                  <w14:schemeClr w14:val="tx1"/>
                </w14:solidFill>
              </w14:textFill>
            </w:rPr>
            <w:t>NY</w:t>
          </w:r>
          <w:r>
            <w:rPr>
              <w:rFonts w:hint="eastAsia" w:ascii="宋体" w:hAnsi="宋体" w:cs="宋体"/>
              <w:color w:val="000000" w:themeColor="text1"/>
              <w:kern w:val="0"/>
              <w:lang w:bidi="ar"/>
              <w14:textFill>
                <w14:solidFill>
                  <w14:schemeClr w14:val="tx1"/>
                </w14:solidFill>
              </w14:textFill>
            </w:rPr>
            <w:t xml:space="preserve">/T 1762 的规定执行。 </w:t>
          </w:r>
        </w:p>
        <w:p w14:paraId="32A3053A">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3" w:name="_Toc30411"/>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5</w:t>
          </w:r>
          <w:r>
            <w:rPr>
              <w:rFonts w:hint="eastAsia" w:ascii="黑体" w:hAnsi="宋体" w:eastAsia="黑体" w:cs="黑体"/>
              <w:color w:val="000000" w:themeColor="text1"/>
              <w:kern w:val="0"/>
              <w:lang w:bidi="ar"/>
              <w14:textFill>
                <w14:solidFill>
                  <w14:schemeClr w14:val="tx1"/>
                </w14:solidFill>
              </w14:textFill>
            </w:rPr>
            <w:t>.4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溯源信息平台</w:t>
          </w:r>
          <w:bookmarkEnd w:id="213"/>
          <w:r>
            <w:rPr>
              <w:rFonts w:hint="eastAsia" w:ascii="黑体" w:hAnsi="宋体" w:eastAsia="黑体" w:cs="黑体"/>
              <w:color w:val="000000" w:themeColor="text1"/>
              <w:kern w:val="0"/>
              <w:lang w:bidi="ar"/>
              <w14:textFill>
                <w14:solidFill>
                  <w14:schemeClr w14:val="tx1"/>
                </w14:solidFill>
              </w14:textFill>
            </w:rPr>
            <w:t xml:space="preserve"> </w:t>
          </w:r>
        </w:p>
        <w:p w14:paraId="330C59AA">
          <w:pPr>
            <w:widowControl/>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建立健全全省统一使用的食用农产品质量安全智慧监管平台，将溯源编码及其包含的信息纳入平台，对菠萝蜜质量问题及时进行追溯。</w:t>
          </w:r>
        </w:p>
        <w:p w14:paraId="7BD88F31">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4" w:name="_Toc12696"/>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6</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农业社会化服务</w:t>
          </w:r>
          <w:bookmarkEnd w:id="214"/>
        </w:p>
        <w:p w14:paraId="3DFA5319">
          <w:pPr>
            <w:widowControl/>
            <w:spacing w:line="240" w:lineRule="auto"/>
            <w:ind w:firstLine="420" w:firstLineChars="200"/>
            <w:jc w:val="left"/>
            <w:rPr>
              <w:color w:val="000000" w:themeColor="text1"/>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围绕菠萝蜜全产业链，创新和完善服务机制，发展集农资供应、技术集成、农机作业、仓储物流、农产品营销等服务于一体的社会化服务体系，从产中向产前、产后等环节及金融保险等配套服务延伸，不断提升社会化服务对菠萝蜜全产业链的覆盖率和支撑作用。</w:t>
          </w:r>
        </w:p>
        <w:p w14:paraId="4752A925">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5" w:name="_Toc12904"/>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7</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品牌建设</w:t>
          </w:r>
          <w:bookmarkEnd w:id="215"/>
          <w:r>
            <w:rPr>
              <w:rFonts w:hint="eastAsia" w:ascii="黑体" w:hAnsi="宋体" w:eastAsia="黑体" w:cs="黑体"/>
              <w:color w:val="000000" w:themeColor="text1"/>
              <w:kern w:val="0"/>
              <w:lang w:bidi="ar"/>
              <w14:textFill>
                <w14:solidFill>
                  <w14:schemeClr w14:val="tx1"/>
                </w14:solidFill>
              </w14:textFill>
            </w:rPr>
            <w:t xml:space="preserve"> </w:t>
          </w:r>
        </w:p>
        <w:p w14:paraId="492FB9B9">
          <w:pPr>
            <w:widowControl/>
            <w:spacing w:line="240" w:lineRule="auto"/>
            <w:ind w:firstLine="420" w:firstLineChars="200"/>
            <w:jc w:val="left"/>
            <w:rPr>
              <w:rFonts w:hint="eastAsia" w:ascii="宋体" w:hAnsi="宋体" w:cs="宋体"/>
              <w:color w:val="000000" w:themeColor="text1"/>
              <w:kern w:val="0"/>
              <w:lang w:bidi="ar"/>
              <w14:textFill>
                <w14:solidFill>
                  <w14:schemeClr w14:val="tx1"/>
                </w14:solidFill>
              </w14:textFill>
            </w:rPr>
          </w:pPr>
          <w:r>
            <w:rPr>
              <w:rFonts w:hint="eastAsia" w:ascii="宋体" w:hAnsi="宋体" w:cs="宋体"/>
              <w:color w:val="000000" w:themeColor="text1"/>
              <w:kern w:val="0"/>
              <w:lang w:bidi="ar"/>
              <w14:textFill>
                <w14:solidFill>
                  <w14:schemeClr w14:val="tx1"/>
                </w14:solidFill>
              </w14:textFill>
            </w:rPr>
            <w:t>明确品牌定位与规划，打造“海南鲜品”“[地方名称] 鲜品”等区域公用品牌，带动一些具有核心竞争力的企业品牌和优质特色菠萝蜜品牌，推动菠萝蜜提质升级。提升品牌核心能力，构建品牌培育体系，推动品牌保护和管理，对品牌建设进行监测、评价和改进。品牌管理和建议要求按</w:t>
          </w:r>
          <w:r>
            <w:rPr>
              <w:rFonts w:hint="eastAsia" w:ascii="宋体" w:hAnsi="宋体" w:cs="宋体"/>
              <w:color w:val="000000" w:themeColor="text1"/>
              <w:kern w:val="0"/>
              <w:lang w:val="en-US" w:eastAsia="zh-CN" w:bidi="ar"/>
              <w14:textFill>
                <w14:solidFill>
                  <w14:schemeClr w14:val="tx1"/>
                </w14:solidFill>
              </w14:textFill>
            </w:rPr>
            <w:t>GB</w:t>
          </w:r>
          <w:r>
            <w:rPr>
              <w:rFonts w:hint="eastAsia" w:ascii="宋体" w:hAnsi="宋体" w:cs="宋体"/>
              <w:color w:val="000000" w:themeColor="text1"/>
              <w:kern w:val="0"/>
              <w:lang w:bidi="ar"/>
              <w14:textFill>
                <w14:solidFill>
                  <w14:schemeClr w14:val="tx1"/>
                </w14:solidFill>
              </w14:textFill>
            </w:rPr>
            <w:t>/T 39906、NY/T 4169</w:t>
          </w:r>
          <w:r>
            <w:rPr>
              <w:rFonts w:hint="eastAsia" w:ascii="宋体" w:hAnsi="宋体" w:cs="宋体"/>
              <w:color w:val="000000" w:themeColor="text1"/>
              <w:kern w:val="0"/>
              <w:lang w:val="en-US" w:eastAsia="zh-CN" w:bidi="ar"/>
              <w14:textFill>
                <w14:solidFill>
                  <w14:schemeClr w14:val="tx1"/>
                </w14:solidFill>
              </w14:textFill>
            </w:rPr>
            <w:t xml:space="preserve"> </w:t>
          </w:r>
          <w:r>
            <w:rPr>
              <w:rFonts w:hint="eastAsia" w:ascii="宋体" w:hAnsi="宋体" w:cs="宋体"/>
              <w:color w:val="000000" w:themeColor="text1"/>
              <w:kern w:val="0"/>
              <w:lang w:bidi="ar"/>
              <w14:textFill>
                <w14:solidFill>
                  <w14:schemeClr w14:val="tx1"/>
                </w14:solidFill>
              </w14:textFill>
            </w:rPr>
            <w:t>的规定执行。</w:t>
          </w:r>
        </w:p>
        <w:p w14:paraId="4E99360F">
          <w:pPr>
            <w:widowControl/>
            <w:spacing w:before="120" w:beforeLines="50" w:after="120" w:afterLines="50" w:line="240" w:lineRule="auto"/>
            <w:jc w:val="left"/>
            <w:outlineLvl w:val="1"/>
            <w:rPr>
              <w:rFonts w:hint="default" w:ascii="黑体" w:hAnsi="宋体" w:eastAsia="黑体" w:cs="黑体"/>
              <w:color w:val="000000" w:themeColor="text1"/>
              <w:kern w:val="0"/>
              <w:lang w:val="en-US" w:eastAsia="zh-CN" w:bidi="ar"/>
              <w14:textFill>
                <w14:solidFill>
                  <w14:schemeClr w14:val="tx1"/>
                </w14:solidFill>
              </w14:textFill>
            </w:rPr>
          </w:pPr>
          <w:bookmarkStart w:id="216" w:name="_Toc2855"/>
          <w:bookmarkStart w:id="217" w:name="_Toc4416"/>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8</w:t>
          </w:r>
          <w:bookmarkEnd w:id="216"/>
          <w:bookmarkEnd w:id="217"/>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val="en-US" w:eastAsia="zh-CN" w:bidi="ar"/>
              <w14:textFill>
                <w14:solidFill>
                  <w14:schemeClr w14:val="tx1"/>
                </w14:solidFill>
              </w14:textFill>
            </w:rPr>
            <w:t>证实方法</w:t>
          </w:r>
        </w:p>
        <w:p w14:paraId="19F7429A">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8" w:name="_Toc29089"/>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8</w:t>
          </w:r>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生产者档案</w:t>
          </w:r>
          <w:bookmarkEnd w:id="218"/>
        </w:p>
        <w:p w14:paraId="23D86A0C">
          <w:pPr>
            <w:pStyle w:val="26"/>
            <w:widowControl/>
            <w:spacing w:beforeAutospacing="0" w:afterAutospacing="0" w:line="240" w:lineRule="auto"/>
            <w:ind w:firstLine="420" w:firstLineChars="200"/>
            <w:rPr>
              <w:rFonts w:ascii="宋体" w:hAnsi="Times New Roman"/>
              <w:color w:val="000000" w:themeColor="text1"/>
              <w:kern w:val="0"/>
              <w:sz w:val="21"/>
              <w14:textFill>
                <w14:solidFill>
                  <w14:schemeClr w14:val="tx1"/>
                </w14:solidFill>
              </w14:textFill>
            </w:rPr>
          </w:pPr>
          <w:r>
            <w:rPr>
              <w:rFonts w:hint="eastAsia" w:ascii="宋体" w:hAnsi="Times New Roman"/>
              <w:color w:val="000000" w:themeColor="text1"/>
              <w:kern w:val="0"/>
              <w:sz w:val="21"/>
              <w14:textFill>
                <w14:solidFill>
                  <w14:schemeClr w14:val="tx1"/>
                </w14:solidFill>
              </w14:textFill>
            </w:rPr>
            <w:t>对生产者基本情况、主要产品品种、场所布局信息、管理人员信息、产地环境监测情况等进行电子信息登记。</w:t>
          </w:r>
        </w:p>
        <w:p w14:paraId="21F3E776">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19" w:name="_Toc15616"/>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8</w:t>
          </w:r>
          <w:r>
            <w:rPr>
              <w:rFonts w:hint="eastAsia" w:ascii="黑体" w:hAnsi="宋体" w:eastAsia="黑体" w:cs="黑体"/>
              <w:color w:val="000000" w:themeColor="text1"/>
              <w:kern w:val="0"/>
              <w:lang w:bidi="ar"/>
              <w14:textFill>
                <w14:solidFill>
                  <w14:schemeClr w14:val="tx1"/>
                </w14:solidFill>
              </w14:textFill>
            </w:rPr>
            <w:t>.2</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投入品档案</w:t>
          </w:r>
          <w:bookmarkEnd w:id="219"/>
        </w:p>
        <w:p w14:paraId="5A567DD9">
          <w:pPr>
            <w:pStyle w:val="26"/>
            <w:widowControl/>
            <w:spacing w:beforeAutospacing="0" w:afterAutospacing="0" w:line="240" w:lineRule="auto"/>
            <w:ind w:firstLine="420" w:firstLineChars="200"/>
            <w:rPr>
              <w:rFonts w:ascii="宋体" w:hAnsi="Times New Roman"/>
              <w:color w:val="000000" w:themeColor="text1"/>
              <w:kern w:val="0"/>
              <w:sz w:val="21"/>
              <w14:textFill>
                <w14:solidFill>
                  <w14:schemeClr w14:val="tx1"/>
                </w14:solidFill>
              </w14:textFill>
            </w:rPr>
          </w:pPr>
          <w:r>
            <w:rPr>
              <w:rFonts w:hint="eastAsia" w:ascii="宋体" w:hAnsi="Times New Roman"/>
              <w:color w:val="000000" w:themeColor="text1"/>
              <w:kern w:val="0"/>
              <w:sz w:val="21"/>
              <w14:textFill>
                <w14:solidFill>
                  <w14:schemeClr w14:val="tx1"/>
                </w14:solidFill>
              </w14:textFill>
            </w:rPr>
            <w:t>对种苗、肥料、农药等农业投入品要进行详细的记录，保留相关合同、包装袋、检测报告、照片等信息。</w:t>
          </w:r>
        </w:p>
        <w:p w14:paraId="2EA8CA6F">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20" w:name="_Toc29580"/>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8</w:t>
          </w:r>
          <w:r>
            <w:rPr>
              <w:rFonts w:hint="eastAsia" w:ascii="黑体" w:hAnsi="宋体" w:eastAsia="黑体" w:cs="黑体"/>
              <w:color w:val="000000" w:themeColor="text1"/>
              <w:kern w:val="0"/>
              <w:lang w:bidi="ar"/>
              <w14:textFill>
                <w14:solidFill>
                  <w14:schemeClr w14:val="tx1"/>
                </w14:solidFill>
              </w14:textFill>
            </w:rPr>
            <w:t>.3</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生产管理档案</w:t>
          </w:r>
          <w:bookmarkEnd w:id="220"/>
        </w:p>
        <w:p w14:paraId="0C9128CE">
          <w:pPr>
            <w:pStyle w:val="26"/>
            <w:widowControl/>
            <w:spacing w:beforeAutospacing="0" w:afterAutospacing="0" w:line="240" w:lineRule="auto"/>
            <w:ind w:firstLine="420" w:firstLineChars="200"/>
            <w:rPr>
              <w:rFonts w:ascii="宋体" w:hAnsi="Times New Roman"/>
              <w:color w:val="000000" w:themeColor="text1"/>
              <w:kern w:val="0"/>
              <w:sz w:val="21"/>
              <w14:textFill>
                <w14:solidFill>
                  <w14:schemeClr w14:val="tx1"/>
                </w14:solidFill>
              </w14:textFill>
            </w:rPr>
          </w:pPr>
          <w:r>
            <w:rPr>
              <w:rFonts w:hint="eastAsia" w:ascii="宋体" w:hAnsi="Times New Roman"/>
              <w:color w:val="000000" w:themeColor="text1"/>
              <w:kern w:val="0"/>
              <w:sz w:val="21"/>
              <w14:textFill>
                <w14:solidFill>
                  <w14:schemeClr w14:val="tx1"/>
                </w14:solidFill>
              </w14:textFill>
            </w:rPr>
            <w:t>将果园生产管理环节的作业信息、物候期信息、关键气象信息、采收信息等记录下来，按批次建立生产管理电子档案。应</w:t>
          </w:r>
          <w:r>
            <w:rPr>
              <w:rFonts w:hint="eastAsia" w:ascii="宋体" w:hAnsi="Times New Roman"/>
              <w:color w:val="000000" w:themeColor="text1"/>
              <w:kern w:val="0"/>
              <w:sz w:val="21"/>
              <w:szCs w:val="21"/>
              <w14:textFill>
                <w14:solidFill>
                  <w14:schemeClr w14:val="tx1"/>
                </w14:solidFill>
              </w14:textFill>
            </w:rPr>
            <w:t>符合</w:t>
          </w:r>
          <w:r>
            <w:rPr>
              <w:rFonts w:hint="eastAsia" w:ascii="宋体" w:hAnsi="Times New Roman"/>
              <w:color w:val="000000" w:themeColor="text1"/>
              <w:kern w:val="0"/>
              <w:sz w:val="21"/>
              <w:szCs w:val="21"/>
              <w:lang w:val="en-US" w:eastAsia="zh-CN"/>
              <w14:textFill>
                <w14:solidFill>
                  <w14:schemeClr w14:val="tx1"/>
                </w14:solidFill>
              </w14:textFill>
            </w:rPr>
            <w:t>GB</w:t>
          </w:r>
          <w:r>
            <w:rPr>
              <w:rFonts w:hint="eastAsia" w:ascii="宋体" w:hAnsi="Times New Roman"/>
              <w:color w:val="000000" w:themeColor="text1"/>
              <w:kern w:val="0"/>
              <w:sz w:val="21"/>
              <w:szCs w:val="21"/>
              <w14:textFill>
                <w14:solidFill>
                  <w14:schemeClr w14:val="tx1"/>
                </w14:solidFill>
              </w14:textFill>
            </w:rPr>
            <w:t>/T 42478的规定。</w:t>
          </w:r>
        </w:p>
        <w:p w14:paraId="44C7ABC8">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21" w:name="_Toc11097"/>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8</w:t>
          </w:r>
          <w:r>
            <w:rPr>
              <w:rFonts w:hint="eastAsia" w:ascii="黑体" w:hAnsi="宋体" w:eastAsia="黑体" w:cs="黑体"/>
              <w:color w:val="000000" w:themeColor="text1"/>
              <w:kern w:val="0"/>
              <w:lang w:bidi="ar"/>
              <w14:textFill>
                <w14:solidFill>
                  <w14:schemeClr w14:val="tx1"/>
                </w14:solidFill>
              </w14:textFill>
            </w:rPr>
            <w:t>.4</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产品检测档案</w:t>
          </w:r>
          <w:bookmarkEnd w:id="221"/>
        </w:p>
        <w:p w14:paraId="2358192D">
          <w:pPr>
            <w:pStyle w:val="26"/>
            <w:widowControl/>
            <w:spacing w:beforeAutospacing="0" w:afterAutospacing="0" w:line="240" w:lineRule="auto"/>
            <w:ind w:firstLine="420" w:firstLineChars="200"/>
            <w:rPr>
              <w:rFonts w:ascii="宋体" w:hAnsi="Times New Roman"/>
              <w:color w:val="000000" w:themeColor="text1"/>
              <w:kern w:val="0"/>
              <w:sz w:val="21"/>
              <w14:textFill>
                <w14:solidFill>
                  <w14:schemeClr w14:val="tx1"/>
                </w14:solidFill>
              </w14:textFill>
            </w:rPr>
          </w:pPr>
          <w:r>
            <w:rPr>
              <w:rFonts w:hint="eastAsia" w:ascii="宋体" w:hAnsi="Times New Roman"/>
              <w:color w:val="000000" w:themeColor="text1"/>
              <w:kern w:val="0"/>
              <w:sz w:val="21"/>
              <w14:textFill>
                <w14:solidFill>
                  <w14:schemeClr w14:val="tx1"/>
                </w14:solidFill>
              </w14:textFill>
            </w:rPr>
            <w:t>生产者应当自行或者委托检测机构对</w:t>
          </w:r>
          <w:r>
            <w:rPr>
              <w:rFonts w:hint="eastAsia" w:hAnsi="Times New Roman"/>
              <w:color w:val="000000" w:themeColor="text1"/>
              <w:kern w:val="0"/>
              <w:sz w:val="21"/>
              <w14:textFill>
                <w14:solidFill>
                  <w14:schemeClr w14:val="tx1"/>
                </w14:solidFill>
              </w14:textFill>
            </w:rPr>
            <w:t>菠萝蜜</w:t>
          </w:r>
          <w:r>
            <w:rPr>
              <w:rFonts w:hint="eastAsia" w:ascii="宋体" w:hAnsi="Times New Roman"/>
              <w:color w:val="000000" w:themeColor="text1"/>
              <w:kern w:val="0"/>
              <w:sz w:val="21"/>
              <w14:textFill>
                <w14:solidFill>
                  <w14:schemeClr w14:val="tx1"/>
                </w14:solidFill>
              </w14:textFill>
            </w:rPr>
            <w:t>种苗或果品质量状况进行检测，记录产品检测信息，建立产品质量检测数据电子档案，经检测不符合标准的产品不得上市销售。</w:t>
          </w:r>
        </w:p>
        <w:p w14:paraId="0A3CE017">
          <w:pPr>
            <w:widowControl/>
            <w:spacing w:before="120" w:beforeLines="50" w:after="120" w:afterLines="50" w:line="240" w:lineRule="auto"/>
            <w:jc w:val="left"/>
            <w:outlineLvl w:val="1"/>
            <w:rPr>
              <w:rFonts w:ascii="黑体" w:hAnsi="宋体" w:eastAsia="黑体" w:cs="黑体"/>
              <w:color w:val="000000" w:themeColor="text1"/>
              <w:kern w:val="0"/>
              <w:lang w:bidi="ar"/>
              <w14:textFill>
                <w14:solidFill>
                  <w14:schemeClr w14:val="tx1"/>
                </w14:solidFill>
              </w14:textFill>
            </w:rPr>
          </w:pPr>
          <w:bookmarkStart w:id="222" w:name="_Toc16723"/>
          <w:r>
            <w:rPr>
              <w:rFonts w:hint="eastAsia" w:ascii="黑体" w:hAnsi="宋体" w:eastAsia="黑体" w:cs="黑体"/>
              <w:color w:val="000000" w:themeColor="text1"/>
              <w:kern w:val="0"/>
              <w:lang w:bidi="ar"/>
              <w14:textFill>
                <w14:solidFill>
                  <w14:schemeClr w14:val="tx1"/>
                </w14:solidFill>
              </w14:textFill>
            </w:rPr>
            <w:t>1</w:t>
          </w:r>
          <w:r>
            <w:rPr>
              <w:rFonts w:hint="eastAsia" w:ascii="黑体" w:hAnsi="宋体" w:eastAsia="黑体" w:cs="黑体"/>
              <w:color w:val="000000" w:themeColor="text1"/>
              <w:kern w:val="0"/>
              <w:lang w:val="en-US" w:eastAsia="zh-CN" w:bidi="ar"/>
              <w14:textFill>
                <w14:solidFill>
                  <w14:schemeClr w14:val="tx1"/>
                </w14:solidFill>
              </w14:textFill>
            </w:rPr>
            <w:t>8</w:t>
          </w:r>
          <w:r>
            <w:rPr>
              <w:rFonts w:hint="eastAsia" w:ascii="黑体" w:hAnsi="宋体" w:eastAsia="黑体" w:cs="黑体"/>
              <w:color w:val="000000" w:themeColor="text1"/>
              <w:kern w:val="0"/>
              <w:lang w:bidi="ar"/>
              <w14:textFill>
                <w14:solidFill>
                  <w14:schemeClr w14:val="tx1"/>
                </w14:solidFill>
              </w14:textFill>
            </w:rPr>
            <w:t>.5</w:t>
          </w:r>
          <w:r>
            <w:rPr>
              <w:rFonts w:hint="eastAsia" w:ascii="黑体" w:hAnsi="宋体" w:eastAsia="黑体" w:cs="黑体"/>
              <w:color w:val="000000" w:themeColor="text1"/>
              <w:kern w:val="0"/>
              <w:lang w:eastAsia="zh-CN" w:bidi="ar"/>
              <w14:textFill>
                <w14:solidFill>
                  <w14:schemeClr w14:val="tx1"/>
                </w14:solidFill>
              </w14:textFill>
            </w:rPr>
            <w:t xml:space="preserve"> </w:t>
          </w:r>
          <w:r>
            <w:rPr>
              <w:rFonts w:hint="eastAsia" w:ascii="黑体" w:hAnsi="宋体" w:eastAsia="黑体" w:cs="黑体"/>
              <w:color w:val="000000" w:themeColor="text1"/>
              <w:kern w:val="0"/>
              <w:lang w:bidi="ar"/>
              <w14:textFill>
                <w14:solidFill>
                  <w14:schemeClr w14:val="tx1"/>
                </w14:solidFill>
              </w14:textFill>
            </w:rPr>
            <w:t>产品销售档案</w:t>
          </w:r>
          <w:bookmarkEnd w:id="222"/>
        </w:p>
        <w:p w14:paraId="034E603D">
          <w:pPr>
            <w:pStyle w:val="26"/>
            <w:widowControl/>
            <w:spacing w:beforeAutospacing="0" w:afterAutospacing="0" w:line="240" w:lineRule="auto"/>
            <w:ind w:firstLine="420" w:firstLineChars="200"/>
            <w:rPr>
              <w:rFonts w:ascii="宋体" w:hAnsi="宋体" w:cs="宋体"/>
              <w:color w:val="000000" w:themeColor="text1"/>
              <w:kern w:val="0"/>
              <w:sz w:val="21"/>
              <w14:textFill>
                <w14:solidFill>
                  <w14:schemeClr w14:val="tx1"/>
                </w14:solidFill>
              </w14:textFill>
            </w:rPr>
          </w:pPr>
          <w:r>
            <w:rPr>
              <w:rFonts w:hint="eastAsia" w:ascii="宋体" w:hAnsi="宋体" w:cs="宋体"/>
              <w:color w:val="000000" w:themeColor="text1"/>
              <w:kern w:val="0"/>
              <w:sz w:val="21"/>
              <w14:textFill>
                <w14:solidFill>
                  <w14:schemeClr w14:val="tx1"/>
                </w14:solidFill>
              </w14:textFill>
            </w:rPr>
            <w:t>生产者应将产品的销售去向、运输车辆、具体交易信息建立电子档案，将生产批次信息与流向信息相关联，打印出相应的交易凭证，以便下一环节进行证货同行验证。</w:t>
          </w:r>
        </w:p>
        <w:p w14:paraId="1A812E0E">
          <w:pPr>
            <w:widowControl/>
            <w:spacing w:line="240" w:lineRule="auto"/>
            <w:jc w:val="left"/>
            <w:rPr>
              <w:rFonts w:hint="eastAsia" w:ascii="宋体" w:hAnsi="宋体" w:cs="宋体"/>
              <w:color w:val="000000" w:themeColor="text1"/>
              <w:kern w:val="0"/>
              <w:lang w:bidi="ar"/>
              <w14:textFill>
                <w14:solidFill>
                  <w14:schemeClr w14:val="tx1"/>
                </w14:solidFill>
              </w14:textFill>
            </w:rPr>
          </w:pPr>
        </w:p>
        <w:p w14:paraId="46F4BA69">
          <w:pPr>
            <w:pStyle w:val="58"/>
            <w:ind w:firstLine="0" w:firstLineChars="0"/>
          </w:pPr>
        </w:p>
      </w:sdtContent>
    </w:sdt>
    <w:p w14:paraId="35A01D92">
      <w:pPr>
        <w:spacing w:line="240" w:lineRule="auto"/>
        <w:rPr>
          <w:rFonts w:ascii="黑体" w:eastAsia="黑体"/>
          <w:kern w:val="0"/>
          <w:szCs w:val="20"/>
        </w:rPr>
      </w:pPr>
      <w:r>
        <w:rPr>
          <w:rFonts w:hint="eastAsia" w:ascii="黑体" w:eastAsia="黑体"/>
          <w:kern w:val="0"/>
          <w:szCs w:val="20"/>
        </w:rPr>
        <w:br w:type="page"/>
      </w:r>
    </w:p>
    <w:p w14:paraId="5A9B3232">
      <w:pPr>
        <w:pStyle w:val="78"/>
        <w:numPr>
          <w:ilvl w:val="0"/>
          <w:numId w:val="0"/>
        </w:numPr>
        <w:spacing w:before="60" w:after="120"/>
        <w:rPr>
          <w:rFonts w:hAnsi="Calibri"/>
        </w:rPr>
      </w:pPr>
      <w:bookmarkStart w:id="223" w:name="_Toc7744"/>
      <w:r>
        <w:rPr>
          <w:rFonts w:hint="eastAsia" w:hAnsi="Calibri"/>
        </w:rPr>
        <w:t>附</w:t>
      </w:r>
      <w:r>
        <w:rPr>
          <w:rFonts w:hint="eastAsia" w:hAnsi="Calibri"/>
          <w:lang w:eastAsia="zh-CN"/>
        </w:rPr>
        <w:t xml:space="preserve"> </w:t>
      </w:r>
      <w:r>
        <w:rPr>
          <w:rFonts w:hint="eastAsia" w:hAnsi="Calibri"/>
        </w:rPr>
        <w:t>录</w:t>
      </w:r>
      <w:r>
        <w:rPr>
          <w:rFonts w:hint="eastAsia" w:hAnsi="Calibri"/>
          <w:lang w:eastAsia="zh-CN"/>
        </w:rPr>
        <w:t xml:space="preserve"> </w:t>
      </w:r>
      <w:r>
        <w:rPr>
          <w:rFonts w:hint="eastAsia" w:hAnsi="Calibri"/>
        </w:rPr>
        <w:t>A</w:t>
      </w:r>
      <w:bookmarkEnd w:id="223"/>
    </w:p>
    <w:p w14:paraId="0EE17EEF">
      <w:pPr>
        <w:pStyle w:val="78"/>
        <w:numPr>
          <w:ilvl w:val="0"/>
          <w:numId w:val="0"/>
        </w:numPr>
        <w:spacing w:before="60" w:after="120"/>
      </w:pPr>
      <w:bookmarkStart w:id="224" w:name="_Toc18959"/>
      <w:r>
        <w:rPr>
          <w:rFonts w:hint="eastAsia"/>
        </w:rPr>
        <w:t>（资料性）</w:t>
      </w:r>
      <w:bookmarkEnd w:id="224"/>
    </w:p>
    <w:p w14:paraId="7BCF5756">
      <w:pPr>
        <w:pStyle w:val="78"/>
        <w:numPr>
          <w:ilvl w:val="0"/>
          <w:numId w:val="0"/>
        </w:numPr>
        <w:spacing w:before="60" w:after="120"/>
      </w:pPr>
      <w:bookmarkStart w:id="225" w:name="_Toc2575"/>
      <w:r>
        <w:rPr>
          <w:rFonts w:hint="eastAsia"/>
        </w:rPr>
        <w:t>不同品种菠萝蜜果实主要特征</w:t>
      </w:r>
      <w:bookmarkEnd w:id="225"/>
    </w:p>
    <w:p w14:paraId="5C566724">
      <w:pPr>
        <w:pStyle w:val="80"/>
        <w:numPr>
          <w:ilvl w:val="1"/>
          <w:numId w:val="0"/>
        </w:numPr>
        <w:spacing w:before="120" w:after="120"/>
        <w:outlineLvl w:val="9"/>
        <w:rPr>
          <w:rFonts w:ascii="Times New Roman"/>
        </w:rPr>
      </w:pPr>
      <w:r>
        <w:rPr>
          <w:rFonts w:hint="eastAsia"/>
        </w:rPr>
        <w:t>A.　</w:t>
      </w:r>
      <w:r>
        <w:rPr>
          <w:rFonts w:ascii="Times New Roman"/>
        </w:rPr>
        <w:t>不同品种菠萝蜜果实主要特征</w:t>
      </w:r>
    </w:p>
    <w:p w14:paraId="79BFB54E">
      <w:pPr>
        <w:pStyle w:val="58"/>
        <w:ind w:firstLine="420"/>
        <w:rPr>
          <w:rFonts w:hAnsi="宋体" w:cs="宋体"/>
        </w:rPr>
      </w:pPr>
      <w:r>
        <w:rPr>
          <w:rFonts w:hint="eastAsia" w:hAnsi="宋体" w:cs="宋体"/>
        </w:rPr>
        <w:t>不同品种菠萝蜜果实主要特征。</w:t>
      </w:r>
    </w:p>
    <w:p w14:paraId="4A9B5A63">
      <w:pPr>
        <w:pStyle w:val="79"/>
        <w:numPr>
          <w:ilvl w:val="1"/>
          <w:numId w:val="0"/>
        </w:numPr>
        <w:spacing w:before="120" w:after="120"/>
        <w:ind w:leftChars="0"/>
        <w:jc w:val="center"/>
        <w:rPr>
          <w:rFonts w:ascii="Times New Roman"/>
        </w:rPr>
      </w:pPr>
      <w:r>
        <w:rPr>
          <w:rFonts w:hint="eastAsia" w:ascii="Times New Roman"/>
          <w:lang w:val="en-US" w:eastAsia="zh-CN"/>
        </w:rPr>
        <w:t xml:space="preserve">A </w:t>
      </w:r>
      <w:r>
        <w:rPr>
          <w:rFonts w:ascii="Times New Roman"/>
        </w:rPr>
        <w:t>不同品种菠萝蜜果实主要特征</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0"/>
        <w:gridCol w:w="2722"/>
        <w:gridCol w:w="1091"/>
        <w:gridCol w:w="927"/>
        <w:gridCol w:w="1024"/>
        <w:gridCol w:w="920"/>
        <w:gridCol w:w="983"/>
        <w:gridCol w:w="983"/>
      </w:tblGrid>
      <w:tr w14:paraId="1F5111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920" w:type="dxa"/>
            <w:vAlign w:val="center"/>
          </w:tcPr>
          <w:p w14:paraId="44E754EB">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品种</w:t>
            </w:r>
          </w:p>
        </w:tc>
        <w:tc>
          <w:tcPr>
            <w:tcW w:w="2722" w:type="dxa"/>
            <w:vAlign w:val="center"/>
          </w:tcPr>
          <w:p w14:paraId="79B183C0">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成熟果实剖面图</w:t>
            </w:r>
          </w:p>
        </w:tc>
        <w:tc>
          <w:tcPr>
            <w:tcW w:w="1091" w:type="dxa"/>
            <w:vAlign w:val="center"/>
          </w:tcPr>
          <w:p w14:paraId="2A18486C">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果形</w:t>
            </w:r>
          </w:p>
        </w:tc>
        <w:tc>
          <w:tcPr>
            <w:tcW w:w="927" w:type="dxa"/>
            <w:vAlign w:val="center"/>
          </w:tcPr>
          <w:p w14:paraId="009F31D4">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果色</w:t>
            </w:r>
          </w:p>
        </w:tc>
        <w:tc>
          <w:tcPr>
            <w:tcW w:w="1024" w:type="dxa"/>
            <w:vAlign w:val="center"/>
          </w:tcPr>
          <w:p w14:paraId="76473647">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果苞颜色</w:t>
            </w:r>
          </w:p>
        </w:tc>
        <w:tc>
          <w:tcPr>
            <w:tcW w:w="920" w:type="dxa"/>
            <w:vAlign w:val="center"/>
          </w:tcPr>
          <w:p w14:paraId="24FA3EB4">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苞刺</w:t>
            </w:r>
          </w:p>
        </w:tc>
        <w:tc>
          <w:tcPr>
            <w:tcW w:w="983" w:type="dxa"/>
            <w:vAlign w:val="center"/>
          </w:tcPr>
          <w:p w14:paraId="2F44369D">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质地</w:t>
            </w:r>
          </w:p>
        </w:tc>
        <w:tc>
          <w:tcPr>
            <w:tcW w:w="983" w:type="dxa"/>
            <w:vAlign w:val="center"/>
          </w:tcPr>
          <w:p w14:paraId="66EFF9DA">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风味</w:t>
            </w:r>
          </w:p>
        </w:tc>
      </w:tr>
      <w:tr w14:paraId="04D79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7" w:hRule="atLeast"/>
          <w:jc w:val="center"/>
        </w:trPr>
        <w:tc>
          <w:tcPr>
            <w:tcW w:w="920" w:type="dxa"/>
            <w:vAlign w:val="center"/>
          </w:tcPr>
          <w:p w14:paraId="04215414">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琼引1号</w:t>
            </w:r>
          </w:p>
        </w:tc>
        <w:tc>
          <w:tcPr>
            <w:tcW w:w="2722" w:type="dxa"/>
            <w:vAlign w:val="center"/>
          </w:tcPr>
          <w:p w14:paraId="0DA33865">
            <w:pPr>
              <w:widowControl/>
              <w:spacing w:line="240" w:lineRule="auto"/>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drawing>
                <wp:inline distT="0" distB="0" distL="114300" distR="114300">
                  <wp:extent cx="1396365" cy="1440180"/>
                  <wp:effectExtent l="0" t="0" r="13335" b="7620"/>
                  <wp:docPr id="13" name="图片 13" descr="DSC_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SC_0056"/>
                          <pic:cNvPicPr>
                            <a:picLocks noChangeAspect="1"/>
                          </pic:cNvPicPr>
                        </pic:nvPicPr>
                        <pic:blipFill>
                          <a:blip r:embed="rId16"/>
                          <a:srcRect l="23453" t="8652" r="28656" b="16933"/>
                          <a:stretch>
                            <a:fillRect/>
                          </a:stretch>
                        </pic:blipFill>
                        <pic:spPr>
                          <a:xfrm>
                            <a:off x="0" y="0"/>
                            <a:ext cx="1396365" cy="1440180"/>
                          </a:xfrm>
                          <a:prstGeom prst="rect">
                            <a:avLst/>
                          </a:prstGeom>
                        </pic:spPr>
                      </pic:pic>
                    </a:graphicData>
                  </a:graphic>
                </wp:inline>
              </w:drawing>
            </w:r>
          </w:p>
        </w:tc>
        <w:tc>
          <w:tcPr>
            <w:tcW w:w="1091" w:type="dxa"/>
            <w:vAlign w:val="center"/>
          </w:tcPr>
          <w:p w14:paraId="49B725DA">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长椭圆形</w:t>
            </w:r>
          </w:p>
        </w:tc>
        <w:tc>
          <w:tcPr>
            <w:tcW w:w="927" w:type="dxa"/>
            <w:vAlign w:val="center"/>
          </w:tcPr>
          <w:p w14:paraId="1233E7A7">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绿色</w:t>
            </w:r>
          </w:p>
        </w:tc>
        <w:tc>
          <w:tcPr>
            <w:tcW w:w="1024" w:type="dxa"/>
            <w:vAlign w:val="center"/>
          </w:tcPr>
          <w:p w14:paraId="6C4AA1C5">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金黄色</w:t>
            </w:r>
          </w:p>
        </w:tc>
        <w:tc>
          <w:tcPr>
            <w:tcW w:w="920" w:type="dxa"/>
            <w:vAlign w:val="center"/>
          </w:tcPr>
          <w:p w14:paraId="062CF3F0">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锐尖</w:t>
            </w:r>
          </w:p>
        </w:tc>
        <w:tc>
          <w:tcPr>
            <w:tcW w:w="983" w:type="dxa"/>
            <w:vAlign w:val="center"/>
          </w:tcPr>
          <w:p w14:paraId="0596EAEC">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厚实、爽脆</w:t>
            </w:r>
          </w:p>
        </w:tc>
        <w:tc>
          <w:tcPr>
            <w:tcW w:w="983" w:type="dxa"/>
            <w:vAlign w:val="center"/>
          </w:tcPr>
          <w:p w14:paraId="09BF2413">
            <w:pPr>
              <w:widowControl/>
              <w:jc w:val="center"/>
              <w:rPr>
                <w:rFonts w:ascii="宋体" w:hAnsi="宋体" w:cs="宋体"/>
                <w:color w:val="000000"/>
                <w:kern w:val="0"/>
                <w:sz w:val="18"/>
                <w:szCs w:val="18"/>
                <w:lang w:bidi="ar"/>
              </w:rPr>
            </w:pPr>
            <w:r>
              <w:rPr>
                <w:rFonts w:ascii="宋体" w:hAnsi="宋体" w:cs="宋体"/>
                <w:color w:val="000000"/>
                <w:kern w:val="0"/>
                <w:sz w:val="18"/>
                <w:szCs w:val="18"/>
                <w:lang w:bidi="ar"/>
              </w:rPr>
              <w:t>浓香，甜而多汁</w:t>
            </w:r>
          </w:p>
        </w:tc>
      </w:tr>
      <w:tr w14:paraId="316FA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6" w:hRule="atLeast"/>
          <w:jc w:val="center"/>
        </w:trPr>
        <w:tc>
          <w:tcPr>
            <w:tcW w:w="920" w:type="dxa"/>
            <w:vAlign w:val="center"/>
          </w:tcPr>
          <w:p w14:paraId="5D3691AC">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琼引8号</w:t>
            </w:r>
          </w:p>
        </w:tc>
        <w:tc>
          <w:tcPr>
            <w:tcW w:w="2722" w:type="dxa"/>
            <w:vAlign w:val="center"/>
          </w:tcPr>
          <w:p w14:paraId="117F4948">
            <w:pPr>
              <w:widowControl/>
              <w:spacing w:line="240" w:lineRule="auto"/>
              <w:jc w:val="center"/>
              <w:rPr>
                <w:rFonts w:ascii="宋体" w:hAnsi="宋体" w:cs="宋体"/>
                <w:color w:val="000000"/>
                <w:kern w:val="0"/>
                <w:sz w:val="18"/>
                <w:szCs w:val="18"/>
                <w:lang w:bidi="ar"/>
              </w:rPr>
            </w:pPr>
            <w:r>
              <w:rPr>
                <w:rFonts w:ascii="宋体" w:hAnsi="宋体" w:cs="宋体"/>
                <w:color w:val="000000"/>
                <w:kern w:val="0"/>
                <w:sz w:val="18"/>
                <w:szCs w:val="18"/>
                <w:lang w:bidi="ar"/>
              </w:rPr>
              <w:drawing>
                <wp:inline distT="0" distB="0" distL="114300" distR="114300">
                  <wp:extent cx="1685925" cy="1440180"/>
                  <wp:effectExtent l="0" t="0" r="0" b="7620"/>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7"/>
                          <a:stretch>
                            <a:fillRect/>
                          </a:stretch>
                        </pic:blipFill>
                        <pic:spPr>
                          <a:xfrm>
                            <a:off x="0" y="0"/>
                            <a:ext cx="1685925" cy="1440180"/>
                          </a:xfrm>
                          <a:prstGeom prst="rect">
                            <a:avLst/>
                          </a:prstGeom>
                          <a:noFill/>
                          <a:ln>
                            <a:noFill/>
                          </a:ln>
                        </pic:spPr>
                      </pic:pic>
                    </a:graphicData>
                  </a:graphic>
                </wp:inline>
              </w:drawing>
            </w:r>
          </w:p>
        </w:tc>
        <w:tc>
          <w:tcPr>
            <w:tcW w:w="1091" w:type="dxa"/>
            <w:vAlign w:val="center"/>
          </w:tcPr>
          <w:p w14:paraId="5B2B01CE">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短椭圆形</w:t>
            </w:r>
          </w:p>
        </w:tc>
        <w:tc>
          <w:tcPr>
            <w:tcW w:w="927" w:type="dxa"/>
            <w:vAlign w:val="center"/>
          </w:tcPr>
          <w:p w14:paraId="1BF133F3">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黄绿色</w:t>
            </w:r>
          </w:p>
        </w:tc>
        <w:tc>
          <w:tcPr>
            <w:tcW w:w="1024" w:type="dxa"/>
            <w:vAlign w:val="center"/>
          </w:tcPr>
          <w:p w14:paraId="0F62AB46">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黄色到橙红色</w:t>
            </w:r>
          </w:p>
        </w:tc>
        <w:tc>
          <w:tcPr>
            <w:tcW w:w="920" w:type="dxa"/>
            <w:vAlign w:val="center"/>
          </w:tcPr>
          <w:p w14:paraId="57516688">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中突</w:t>
            </w:r>
          </w:p>
        </w:tc>
        <w:tc>
          <w:tcPr>
            <w:tcW w:w="983" w:type="dxa"/>
            <w:vAlign w:val="center"/>
          </w:tcPr>
          <w:p w14:paraId="68D761E5">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厚实、爽脆</w:t>
            </w:r>
          </w:p>
        </w:tc>
        <w:tc>
          <w:tcPr>
            <w:tcW w:w="983" w:type="dxa"/>
            <w:vAlign w:val="center"/>
          </w:tcPr>
          <w:p w14:paraId="29D37D03">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浓甜多汁</w:t>
            </w:r>
          </w:p>
        </w:tc>
      </w:tr>
      <w:tr w14:paraId="0D01E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0" w:type="dxa"/>
            <w:vAlign w:val="center"/>
          </w:tcPr>
          <w:p w14:paraId="239AF48B">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香蜜17号</w:t>
            </w:r>
          </w:p>
        </w:tc>
        <w:tc>
          <w:tcPr>
            <w:tcW w:w="2722" w:type="dxa"/>
            <w:vAlign w:val="center"/>
          </w:tcPr>
          <w:p w14:paraId="0AA43C89">
            <w:pPr>
              <w:widowControl/>
              <w:spacing w:line="240" w:lineRule="auto"/>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drawing>
                <wp:inline distT="0" distB="0" distL="0" distR="0">
                  <wp:extent cx="1518285" cy="1440180"/>
                  <wp:effectExtent l="0" t="0" r="571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8">
                            <a:extLst>
                              <a:ext uri="{28A0092B-C50C-407E-A947-70E740481C1C}">
                                <a14:useLocalDpi xmlns:a14="http://schemas.microsoft.com/office/drawing/2010/main" val="0"/>
                              </a:ext>
                            </a:extLst>
                          </a:blip>
                          <a:srcRect t="5732" b="3924"/>
                          <a:stretch>
                            <a:fillRect/>
                          </a:stretch>
                        </pic:blipFill>
                        <pic:spPr>
                          <a:xfrm>
                            <a:off x="0" y="0"/>
                            <a:ext cx="1518285" cy="1440180"/>
                          </a:xfrm>
                          <a:prstGeom prst="rect">
                            <a:avLst/>
                          </a:prstGeom>
                          <a:noFill/>
                        </pic:spPr>
                      </pic:pic>
                    </a:graphicData>
                  </a:graphic>
                </wp:inline>
              </w:drawing>
            </w:r>
          </w:p>
        </w:tc>
        <w:tc>
          <w:tcPr>
            <w:tcW w:w="1091" w:type="dxa"/>
            <w:vAlign w:val="center"/>
          </w:tcPr>
          <w:p w14:paraId="59B3048C">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椭圆形</w:t>
            </w:r>
          </w:p>
        </w:tc>
        <w:tc>
          <w:tcPr>
            <w:tcW w:w="927" w:type="dxa"/>
            <w:vAlign w:val="center"/>
          </w:tcPr>
          <w:p w14:paraId="43C25237">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黄绿色</w:t>
            </w:r>
          </w:p>
        </w:tc>
        <w:tc>
          <w:tcPr>
            <w:tcW w:w="1024" w:type="dxa"/>
            <w:vAlign w:val="center"/>
          </w:tcPr>
          <w:p w14:paraId="10D8DC47">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橙红色</w:t>
            </w:r>
          </w:p>
        </w:tc>
        <w:tc>
          <w:tcPr>
            <w:tcW w:w="920" w:type="dxa"/>
            <w:vAlign w:val="center"/>
          </w:tcPr>
          <w:p w14:paraId="6A875087">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锐尖</w:t>
            </w:r>
          </w:p>
        </w:tc>
        <w:tc>
          <w:tcPr>
            <w:tcW w:w="983" w:type="dxa"/>
            <w:vAlign w:val="center"/>
          </w:tcPr>
          <w:p w14:paraId="642948D8">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脆甜</w:t>
            </w:r>
          </w:p>
        </w:tc>
        <w:tc>
          <w:tcPr>
            <w:tcW w:w="983" w:type="dxa"/>
            <w:vAlign w:val="center"/>
          </w:tcPr>
          <w:p w14:paraId="1EDC85B3">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香味浓郁，具有榴莲香味。</w:t>
            </w:r>
          </w:p>
        </w:tc>
      </w:tr>
      <w:tr w14:paraId="39F48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0" w:type="dxa"/>
            <w:vAlign w:val="center"/>
          </w:tcPr>
          <w:p w14:paraId="1D27E558">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常有</w:t>
            </w:r>
          </w:p>
        </w:tc>
        <w:tc>
          <w:tcPr>
            <w:tcW w:w="2722" w:type="dxa"/>
            <w:vAlign w:val="center"/>
          </w:tcPr>
          <w:p w14:paraId="1E962A53">
            <w:pPr>
              <w:widowControl/>
              <w:spacing w:line="240" w:lineRule="auto"/>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drawing>
                <wp:inline distT="0" distB="0" distL="114300" distR="114300">
                  <wp:extent cx="1640205" cy="1440180"/>
                  <wp:effectExtent l="0" t="0" r="17145" b="7620"/>
                  <wp:docPr id="11" name="图片 11" descr="DSC_0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SC_0579"/>
                          <pic:cNvPicPr>
                            <a:picLocks noChangeAspect="1"/>
                          </pic:cNvPicPr>
                        </pic:nvPicPr>
                        <pic:blipFill>
                          <a:blip r:embed="rId19"/>
                          <a:srcRect l="14377" r="18570" b="11363"/>
                          <a:stretch>
                            <a:fillRect/>
                          </a:stretch>
                        </pic:blipFill>
                        <pic:spPr>
                          <a:xfrm>
                            <a:off x="0" y="0"/>
                            <a:ext cx="1640205" cy="1440180"/>
                          </a:xfrm>
                          <a:prstGeom prst="rect">
                            <a:avLst/>
                          </a:prstGeom>
                        </pic:spPr>
                      </pic:pic>
                    </a:graphicData>
                  </a:graphic>
                </wp:inline>
              </w:drawing>
            </w:r>
          </w:p>
        </w:tc>
        <w:tc>
          <w:tcPr>
            <w:tcW w:w="1091" w:type="dxa"/>
            <w:vAlign w:val="center"/>
          </w:tcPr>
          <w:p w14:paraId="01E28554">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椭圆形</w:t>
            </w:r>
          </w:p>
        </w:tc>
        <w:tc>
          <w:tcPr>
            <w:tcW w:w="927" w:type="dxa"/>
            <w:vAlign w:val="center"/>
          </w:tcPr>
          <w:p w14:paraId="6A218C74">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黄绿色</w:t>
            </w:r>
          </w:p>
        </w:tc>
        <w:tc>
          <w:tcPr>
            <w:tcW w:w="1024" w:type="dxa"/>
            <w:vAlign w:val="center"/>
          </w:tcPr>
          <w:p w14:paraId="24162D0A">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淡黄色</w:t>
            </w:r>
          </w:p>
        </w:tc>
        <w:tc>
          <w:tcPr>
            <w:tcW w:w="920" w:type="dxa"/>
            <w:vAlign w:val="center"/>
          </w:tcPr>
          <w:p w14:paraId="01CA9C86">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锐尖</w:t>
            </w:r>
          </w:p>
        </w:tc>
        <w:tc>
          <w:tcPr>
            <w:tcW w:w="983" w:type="dxa"/>
            <w:vAlign w:val="center"/>
          </w:tcPr>
          <w:p w14:paraId="54E36385">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脆软</w:t>
            </w:r>
          </w:p>
        </w:tc>
        <w:tc>
          <w:tcPr>
            <w:tcW w:w="983" w:type="dxa"/>
            <w:vAlign w:val="center"/>
          </w:tcPr>
          <w:p w14:paraId="326DD0EB">
            <w:pPr>
              <w:widowControl/>
              <w:jc w:val="center"/>
              <w:rPr>
                <w:rFonts w:ascii="宋体" w:hAnsi="宋体" w:cs="宋体"/>
                <w:color w:val="000000"/>
                <w:kern w:val="0"/>
                <w:sz w:val="18"/>
                <w:szCs w:val="18"/>
                <w:lang w:bidi="ar"/>
              </w:rPr>
            </w:pPr>
            <w:r>
              <w:rPr>
                <w:rFonts w:hint="eastAsia" w:ascii="宋体" w:hAnsi="宋体" w:cs="宋体"/>
                <w:color w:val="000000"/>
                <w:kern w:val="0"/>
                <w:sz w:val="18"/>
                <w:szCs w:val="18"/>
                <w:lang w:bidi="ar"/>
              </w:rPr>
              <w:t>甜而不腻，香气清香，略带淡淡榴莲香气。</w:t>
            </w:r>
          </w:p>
        </w:tc>
      </w:tr>
    </w:tbl>
    <w:p w14:paraId="759AABA9">
      <w:r>
        <w:rPr>
          <w:rFonts w:hint="eastAsia"/>
        </w:rPr>
        <w:br w:type="page"/>
      </w:r>
    </w:p>
    <w:p w14:paraId="49B873DF">
      <w:pPr>
        <w:pStyle w:val="78"/>
        <w:numPr>
          <w:ilvl w:val="0"/>
          <w:numId w:val="0"/>
        </w:numPr>
        <w:spacing w:before="60" w:after="120"/>
        <w:rPr>
          <w:rFonts w:hAnsi="Calibri"/>
        </w:rPr>
      </w:pPr>
      <w:bookmarkStart w:id="226" w:name="_Toc2931"/>
      <w:r>
        <w:rPr>
          <w:rFonts w:hint="eastAsia" w:hAnsi="Calibri"/>
        </w:rPr>
        <w:t>附</w:t>
      </w:r>
      <w:r>
        <w:rPr>
          <w:rFonts w:hint="eastAsia" w:hAnsi="Calibri"/>
          <w:lang w:val="en-US" w:eastAsia="zh-CN"/>
        </w:rPr>
        <w:t xml:space="preserve"> </w:t>
      </w:r>
      <w:r>
        <w:rPr>
          <w:rFonts w:hint="eastAsia" w:hAnsi="Calibri"/>
        </w:rPr>
        <w:t>录</w:t>
      </w:r>
      <w:r>
        <w:rPr>
          <w:rFonts w:hint="eastAsia" w:hAnsi="Calibri"/>
          <w:lang w:eastAsia="zh-CN"/>
        </w:rPr>
        <w:t xml:space="preserve"> </w:t>
      </w:r>
      <w:r>
        <w:rPr>
          <w:rFonts w:hint="eastAsia" w:hAnsi="Calibri"/>
        </w:rPr>
        <w:t>B</w:t>
      </w:r>
      <w:bookmarkEnd w:id="226"/>
      <w:r>
        <w:rPr>
          <w:rFonts w:hint="eastAsia" w:hAnsi="Calibri"/>
        </w:rPr>
        <w:t xml:space="preserve"> </w:t>
      </w:r>
    </w:p>
    <w:p w14:paraId="4442070E">
      <w:pPr>
        <w:pStyle w:val="78"/>
        <w:numPr>
          <w:ilvl w:val="0"/>
          <w:numId w:val="0"/>
        </w:numPr>
        <w:spacing w:before="60" w:after="120"/>
        <w:rPr>
          <w:rFonts w:hAnsi="Calibri"/>
        </w:rPr>
      </w:pPr>
      <w:bookmarkStart w:id="227" w:name="_Toc24592"/>
      <w:r>
        <w:rPr>
          <w:rFonts w:hint="eastAsia" w:hAnsi="Calibri"/>
        </w:rPr>
        <w:t>（资料性）</w:t>
      </w:r>
      <w:bookmarkEnd w:id="227"/>
      <w:r>
        <w:rPr>
          <w:rFonts w:hint="eastAsia" w:hAnsi="Calibri"/>
        </w:rPr>
        <w:t xml:space="preserve"> </w:t>
      </w:r>
    </w:p>
    <w:p w14:paraId="34158425">
      <w:pPr>
        <w:pStyle w:val="78"/>
        <w:numPr>
          <w:ilvl w:val="0"/>
          <w:numId w:val="0"/>
        </w:numPr>
        <w:spacing w:before="60" w:after="120"/>
        <w:rPr>
          <w:rFonts w:hAnsi="Calibri"/>
        </w:rPr>
      </w:pPr>
      <w:bookmarkStart w:id="228" w:name="_Toc16654"/>
      <w:r>
        <w:rPr>
          <w:rFonts w:hint="eastAsia" w:hAnsi="Calibri"/>
        </w:rPr>
        <w:t>菠萝蜜种苗嫁接方法和步骤示意图</w:t>
      </w:r>
      <w:bookmarkEnd w:id="228"/>
      <w:r>
        <w:rPr>
          <w:rFonts w:hint="eastAsia" w:hAnsi="Calibri"/>
        </w:rPr>
        <w:t xml:space="preserve"> </w:t>
      </w:r>
    </w:p>
    <w:p w14:paraId="387B5409">
      <w:pPr>
        <w:pStyle w:val="80"/>
        <w:numPr>
          <w:ilvl w:val="1"/>
          <w:numId w:val="0"/>
        </w:numPr>
        <w:spacing w:before="120" w:after="120"/>
        <w:outlineLvl w:val="9"/>
      </w:pPr>
      <w:r>
        <w:rPr>
          <w:rFonts w:hint="eastAsia"/>
        </w:rPr>
        <w:t>B　菠萝蜜种苗嫁接方法和步骤示意图。</w:t>
      </w:r>
    </w:p>
    <w:p w14:paraId="6E53B9E1">
      <w:pPr>
        <w:pStyle w:val="58"/>
        <w:ind w:left="0" w:leftChars="0" w:firstLine="420" w:firstLineChars="200"/>
        <w:rPr>
          <w:rFonts w:hAnsi="宋体" w:cs="宋体"/>
        </w:rPr>
      </w:pPr>
      <w:r>
        <w:rPr>
          <w:rFonts w:hint="eastAsia" w:hAnsi="宋体" w:cs="宋体"/>
        </w:rPr>
        <w:t>菠萝蜜种苗嫁接方法和步骤示意图见图B。</w:t>
      </w:r>
    </w:p>
    <w:p w14:paraId="1D0EDA10">
      <w:pPr>
        <w:pStyle w:val="58"/>
        <w:ind w:firstLine="420"/>
        <w:jc w:val="center"/>
      </w:pPr>
      <w:r>
        <w:rPr>
          <w:rFonts w:hint="eastAsia"/>
        </w:rPr>
        <w:drawing>
          <wp:inline distT="0" distB="0" distL="114300" distR="114300">
            <wp:extent cx="4737100" cy="6801485"/>
            <wp:effectExtent l="0" t="0" r="6350" b="18415"/>
            <wp:docPr id="17" name="图片 17" descr="新建 DOC 文档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新建 DOC 文档_01(1)"/>
                    <pic:cNvPicPr>
                      <a:picLocks noChangeAspect="1"/>
                    </pic:cNvPicPr>
                  </pic:nvPicPr>
                  <pic:blipFill>
                    <a:blip r:embed="rId20"/>
                    <a:srcRect b="3573"/>
                    <a:stretch>
                      <a:fillRect/>
                    </a:stretch>
                  </pic:blipFill>
                  <pic:spPr>
                    <a:xfrm>
                      <a:off x="0" y="0"/>
                      <a:ext cx="4737100" cy="6801485"/>
                    </a:xfrm>
                    <a:prstGeom prst="rect">
                      <a:avLst/>
                    </a:prstGeom>
                  </pic:spPr>
                </pic:pic>
              </a:graphicData>
            </a:graphic>
          </wp:inline>
        </w:drawing>
      </w:r>
    </w:p>
    <w:p w14:paraId="5DD04BE3">
      <w:pPr>
        <w:widowControl/>
        <w:jc w:val="center"/>
        <w:rPr>
          <w:rFonts w:ascii="黑体" w:eastAsia="黑体"/>
          <w:kern w:val="0"/>
          <w:szCs w:val="20"/>
        </w:rPr>
      </w:pPr>
      <w:r>
        <w:rPr>
          <w:rFonts w:ascii="Times New Roman" w:hAnsi="Times New Roman" w:eastAsia="黑体"/>
          <w:kern w:val="21"/>
          <w:szCs w:val="20"/>
        </w:rPr>
        <w:t>图</w:t>
      </w:r>
      <w:r>
        <w:rPr>
          <w:rFonts w:hint="eastAsia" w:ascii="Times New Roman" w:hAnsi="Times New Roman" w:eastAsia="黑体"/>
          <w:kern w:val="21"/>
          <w:szCs w:val="20"/>
        </w:rPr>
        <w:t>B</w:t>
      </w:r>
      <w:r>
        <w:rPr>
          <w:rFonts w:ascii="Times New Roman" w:hAnsi="Times New Roman" w:eastAsia="黑体"/>
          <w:kern w:val="21"/>
          <w:szCs w:val="20"/>
        </w:rPr>
        <w:t xml:space="preserve"> 切接方法和步骤示意图</w:t>
      </w:r>
    </w:p>
    <w:p w14:paraId="1AFC2686">
      <w:pPr>
        <w:pStyle w:val="58"/>
        <w:ind w:firstLine="0" w:firstLineChars="0"/>
        <w:rPr>
          <w:rFonts w:ascii="黑体" w:hAnsi="Calibri" w:eastAsia="黑体"/>
        </w:rPr>
        <w:sectPr>
          <w:footerReference r:id="rId13" w:type="default"/>
          <w:pgSz w:w="11906" w:h="16838"/>
          <w:pgMar w:top="2410" w:right="1134" w:bottom="1134" w:left="1134" w:header="1418" w:footer="1134" w:gutter="284"/>
          <w:cols w:space="425" w:num="1"/>
          <w:formProt w:val="0"/>
          <w:docGrid w:linePitch="312" w:charSpace="0"/>
        </w:sectPr>
      </w:pPr>
    </w:p>
    <w:p w14:paraId="565E9B1A">
      <w:pPr>
        <w:pStyle w:val="78"/>
        <w:numPr>
          <w:ilvl w:val="0"/>
          <w:numId w:val="0"/>
        </w:numPr>
        <w:spacing w:before="60" w:after="120"/>
        <w:rPr>
          <w:rFonts w:hAnsi="Calibri"/>
        </w:rPr>
      </w:pPr>
      <w:bookmarkStart w:id="229" w:name="_Toc1538"/>
      <w:r>
        <w:rPr>
          <w:rFonts w:hint="eastAsia" w:hAnsi="Calibri"/>
        </w:rPr>
        <w:t>附</w:t>
      </w:r>
      <w:r>
        <w:rPr>
          <w:rFonts w:hint="eastAsia" w:hAnsi="Calibri"/>
          <w:lang w:eastAsia="zh-CN"/>
        </w:rPr>
        <w:t xml:space="preserve"> </w:t>
      </w:r>
      <w:r>
        <w:rPr>
          <w:rFonts w:hint="eastAsia" w:hAnsi="Calibri"/>
        </w:rPr>
        <w:t>录</w:t>
      </w:r>
      <w:r>
        <w:rPr>
          <w:rFonts w:hint="eastAsia" w:hAnsi="Calibri"/>
          <w:lang w:eastAsia="zh-CN"/>
        </w:rPr>
        <w:t xml:space="preserve"> </w:t>
      </w:r>
      <w:r>
        <w:rPr>
          <w:rFonts w:hint="eastAsia" w:hAnsi="Calibri"/>
        </w:rPr>
        <w:t>C</w:t>
      </w:r>
      <w:bookmarkEnd w:id="229"/>
    </w:p>
    <w:p w14:paraId="067105AC">
      <w:pPr>
        <w:pStyle w:val="78"/>
        <w:numPr>
          <w:ilvl w:val="0"/>
          <w:numId w:val="0"/>
        </w:numPr>
        <w:spacing w:before="60" w:after="120"/>
      </w:pPr>
      <w:bookmarkStart w:id="230" w:name="_Toc12813"/>
      <w:r>
        <w:rPr>
          <w:rFonts w:hint="eastAsia"/>
        </w:rPr>
        <w:t>（资料性）</w:t>
      </w:r>
      <w:bookmarkEnd w:id="230"/>
    </w:p>
    <w:p w14:paraId="38F34711">
      <w:pPr>
        <w:pStyle w:val="78"/>
        <w:numPr>
          <w:ilvl w:val="0"/>
          <w:numId w:val="0"/>
        </w:numPr>
        <w:spacing w:before="60" w:after="120"/>
      </w:pPr>
      <w:bookmarkStart w:id="231" w:name="_Toc25889"/>
      <w:r>
        <w:rPr>
          <w:rFonts w:hint="eastAsia"/>
        </w:rPr>
        <w:t>菠萝蜜主要病害药剂防治措施</w:t>
      </w:r>
      <w:bookmarkEnd w:id="231"/>
    </w:p>
    <w:p w14:paraId="67FA17C3">
      <w:pPr>
        <w:pStyle w:val="80"/>
        <w:numPr>
          <w:ilvl w:val="1"/>
          <w:numId w:val="0"/>
        </w:numPr>
        <w:spacing w:before="120" w:after="120"/>
        <w:outlineLvl w:val="9"/>
        <w:rPr>
          <w:rFonts w:ascii="Times New Roman"/>
        </w:rPr>
      </w:pPr>
      <w:r>
        <w:rPr>
          <w:rFonts w:hint="eastAsia"/>
        </w:rPr>
        <w:t>C　</w:t>
      </w:r>
      <w:r>
        <w:rPr>
          <w:rFonts w:ascii="Times New Roman"/>
        </w:rPr>
        <w:t>菠萝蜜主要病害药剂防治措施</w:t>
      </w:r>
    </w:p>
    <w:p w14:paraId="006E83B6">
      <w:pPr>
        <w:pStyle w:val="58"/>
        <w:ind w:firstLine="420"/>
        <w:rPr>
          <w:rFonts w:hAnsi="宋体" w:cs="宋体"/>
        </w:rPr>
      </w:pPr>
      <w:r>
        <w:rPr>
          <w:rFonts w:hint="eastAsia" w:hAnsi="宋体" w:cs="宋体"/>
        </w:rPr>
        <w:t>菠萝蜜主要病害药剂防治措施见表C。</w:t>
      </w:r>
    </w:p>
    <w:p w14:paraId="2ABF97DD">
      <w:pPr>
        <w:pStyle w:val="79"/>
        <w:numPr>
          <w:ilvl w:val="1"/>
          <w:numId w:val="0"/>
        </w:numPr>
        <w:spacing w:before="120" w:after="120"/>
        <w:ind w:left="420"/>
        <w:rPr>
          <w:rFonts w:ascii="Times New Roman"/>
        </w:rPr>
      </w:pPr>
      <w:r>
        <w:rPr>
          <w:rFonts w:ascii="Times New Roman"/>
        </w:rPr>
        <w:t>表</w:t>
      </w:r>
      <w:r>
        <w:rPr>
          <w:rFonts w:hint="eastAsia" w:ascii="Times New Roman"/>
        </w:rPr>
        <w:t xml:space="preserve">C </w:t>
      </w:r>
      <w:r>
        <w:rPr>
          <w:rFonts w:ascii="Times New Roman"/>
        </w:rPr>
        <w:t>菠萝蜜主要病害药剂防治措施</w:t>
      </w:r>
    </w:p>
    <w:tbl>
      <w:tblPr>
        <w:tblStyle w:val="28"/>
        <w:tblW w:w="496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28"/>
        <w:gridCol w:w="2457"/>
        <w:gridCol w:w="2025"/>
        <w:gridCol w:w="1348"/>
        <w:gridCol w:w="862"/>
        <w:gridCol w:w="1989"/>
      </w:tblGrid>
      <w:tr w14:paraId="10D23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6" w:hRule="atLeast"/>
          <w:tblHeader/>
        </w:trPr>
        <w:tc>
          <w:tcPr>
            <w:tcW w:w="435" w:type="pct"/>
            <w:noWrap/>
            <w:vAlign w:val="center"/>
          </w:tcPr>
          <w:p w14:paraId="1331BC5A">
            <w:pPr>
              <w:adjustRightInd/>
              <w:spacing w:line="240" w:lineRule="auto"/>
              <w:jc w:val="center"/>
              <w:rPr>
                <w:rFonts w:ascii="宋体" w:hAnsi="宋体" w:cs="宋体"/>
                <w:sz w:val="18"/>
                <w:szCs w:val="18"/>
              </w:rPr>
            </w:pPr>
            <w:r>
              <w:rPr>
                <w:rFonts w:hint="eastAsia" w:ascii="宋体" w:hAnsi="宋体" w:cs="宋体"/>
                <w:sz w:val="18"/>
                <w:szCs w:val="18"/>
              </w:rPr>
              <w:t>病害</w:t>
            </w:r>
          </w:p>
          <w:p w14:paraId="7613771C">
            <w:pPr>
              <w:adjustRightInd/>
              <w:spacing w:line="240" w:lineRule="auto"/>
              <w:jc w:val="center"/>
              <w:rPr>
                <w:rFonts w:ascii="宋体" w:hAnsi="宋体" w:cs="宋体"/>
                <w:sz w:val="18"/>
                <w:szCs w:val="18"/>
              </w:rPr>
            </w:pPr>
            <w:r>
              <w:rPr>
                <w:rFonts w:hint="eastAsia" w:ascii="宋体" w:hAnsi="宋体" w:cs="宋体"/>
                <w:sz w:val="18"/>
                <w:szCs w:val="18"/>
              </w:rPr>
              <w:t>名称</w:t>
            </w:r>
          </w:p>
        </w:tc>
        <w:tc>
          <w:tcPr>
            <w:tcW w:w="1291" w:type="pct"/>
            <w:noWrap/>
            <w:vAlign w:val="center"/>
          </w:tcPr>
          <w:p w14:paraId="63CD6E62">
            <w:pPr>
              <w:adjustRightInd/>
              <w:spacing w:line="240" w:lineRule="auto"/>
              <w:jc w:val="center"/>
              <w:rPr>
                <w:rFonts w:ascii="宋体" w:hAnsi="宋体" w:cs="宋体"/>
                <w:sz w:val="18"/>
                <w:szCs w:val="18"/>
              </w:rPr>
            </w:pPr>
            <w:r>
              <w:rPr>
                <w:rFonts w:hint="eastAsia" w:ascii="宋体" w:hAnsi="宋体" w:cs="宋体"/>
                <w:sz w:val="18"/>
                <w:szCs w:val="18"/>
              </w:rPr>
              <w:t>为害特征图</w:t>
            </w:r>
          </w:p>
        </w:tc>
        <w:tc>
          <w:tcPr>
            <w:tcW w:w="1064" w:type="pct"/>
            <w:noWrap/>
            <w:vAlign w:val="center"/>
          </w:tcPr>
          <w:p w14:paraId="5B109BE9">
            <w:pPr>
              <w:widowControl/>
              <w:jc w:val="center"/>
              <w:rPr>
                <w:rFonts w:ascii="宋体" w:hAnsi="宋体" w:cs="宋体"/>
                <w:sz w:val="18"/>
                <w:szCs w:val="18"/>
              </w:rPr>
            </w:pPr>
            <w:r>
              <w:rPr>
                <w:rFonts w:hint="eastAsia" w:ascii="宋体" w:hAnsi="宋体" w:cs="宋体"/>
                <w:color w:val="000000"/>
                <w:kern w:val="0"/>
                <w:sz w:val="18"/>
                <w:szCs w:val="18"/>
                <w:lang w:bidi="ar"/>
              </w:rPr>
              <w:t>推荐药剂</w:t>
            </w:r>
          </w:p>
        </w:tc>
        <w:tc>
          <w:tcPr>
            <w:tcW w:w="709" w:type="pct"/>
            <w:noWrap/>
            <w:vAlign w:val="center"/>
          </w:tcPr>
          <w:p w14:paraId="273A3295">
            <w:pPr>
              <w:widowControl/>
              <w:jc w:val="center"/>
              <w:rPr>
                <w:rFonts w:ascii="宋体" w:hAnsi="宋体" w:cs="宋体"/>
                <w:sz w:val="18"/>
                <w:szCs w:val="18"/>
              </w:rPr>
            </w:pPr>
            <w:r>
              <w:rPr>
                <w:rFonts w:hint="eastAsia" w:ascii="宋体" w:hAnsi="宋体" w:cs="宋体"/>
                <w:color w:val="000000"/>
                <w:kern w:val="0"/>
                <w:sz w:val="18"/>
                <w:szCs w:val="18"/>
                <w:lang w:bidi="ar"/>
              </w:rPr>
              <w:t>稀释倍数</w:t>
            </w:r>
          </w:p>
        </w:tc>
        <w:tc>
          <w:tcPr>
            <w:tcW w:w="453" w:type="pct"/>
            <w:noWrap/>
            <w:vAlign w:val="center"/>
          </w:tcPr>
          <w:p w14:paraId="7EB3380C">
            <w:pPr>
              <w:adjustRightInd/>
              <w:spacing w:line="240" w:lineRule="auto"/>
              <w:jc w:val="center"/>
              <w:rPr>
                <w:rFonts w:ascii="宋体" w:hAnsi="宋体" w:cs="宋体"/>
                <w:sz w:val="18"/>
                <w:szCs w:val="18"/>
              </w:rPr>
            </w:pPr>
            <w:r>
              <w:rPr>
                <w:rFonts w:hint="eastAsia" w:ascii="宋体" w:hAnsi="宋体" w:cs="宋体"/>
                <w:sz w:val="18"/>
                <w:szCs w:val="18"/>
              </w:rPr>
              <w:t>安全间隔期，d</w:t>
            </w:r>
          </w:p>
        </w:tc>
        <w:tc>
          <w:tcPr>
            <w:tcW w:w="1045" w:type="pct"/>
            <w:noWrap/>
            <w:vAlign w:val="center"/>
          </w:tcPr>
          <w:p w14:paraId="3C7A0DDC">
            <w:pPr>
              <w:widowControl/>
              <w:jc w:val="center"/>
            </w:pPr>
            <w:r>
              <w:rPr>
                <w:rFonts w:hint="eastAsia" w:ascii="宋体" w:hAnsi="宋体" w:cs="宋体"/>
                <w:color w:val="000000"/>
                <w:kern w:val="0"/>
                <w:sz w:val="18"/>
                <w:szCs w:val="18"/>
                <w:lang w:bidi="ar"/>
              </w:rPr>
              <w:t>防治时期和方法</w:t>
            </w:r>
          </w:p>
          <w:p w14:paraId="3172812C">
            <w:pPr>
              <w:adjustRightInd/>
              <w:spacing w:line="240" w:lineRule="auto"/>
              <w:jc w:val="center"/>
              <w:rPr>
                <w:rFonts w:ascii="宋体" w:hAnsi="宋体" w:cs="宋体"/>
                <w:sz w:val="18"/>
                <w:szCs w:val="18"/>
              </w:rPr>
            </w:pPr>
          </w:p>
        </w:tc>
      </w:tr>
      <w:tr w14:paraId="48DB57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53" w:hRule="atLeast"/>
        </w:trPr>
        <w:tc>
          <w:tcPr>
            <w:tcW w:w="435" w:type="pct"/>
            <w:shd w:val="clear" w:color="auto" w:fill="auto"/>
            <w:noWrap/>
            <w:vAlign w:val="center"/>
          </w:tcPr>
          <w:p w14:paraId="6C7D84F9">
            <w:pPr>
              <w:adjustRightInd/>
              <w:spacing w:line="240" w:lineRule="auto"/>
              <w:jc w:val="center"/>
              <w:rPr>
                <w:rFonts w:ascii="宋体" w:hAnsi="宋体" w:cs="宋体"/>
                <w:sz w:val="18"/>
                <w:szCs w:val="18"/>
              </w:rPr>
            </w:pPr>
            <w:r>
              <w:rPr>
                <w:rFonts w:hint="eastAsia" w:ascii="宋体" w:hAnsi="宋体" w:cs="宋体"/>
                <w:sz w:val="18"/>
                <w:szCs w:val="18"/>
              </w:rPr>
              <w:t>裂皮病</w:t>
            </w:r>
          </w:p>
        </w:tc>
        <w:tc>
          <w:tcPr>
            <w:tcW w:w="1291" w:type="pct"/>
            <w:shd w:val="clear" w:color="auto" w:fill="auto"/>
            <w:noWrap/>
            <w:vAlign w:val="center"/>
          </w:tcPr>
          <w:p w14:paraId="26632F75">
            <w:pPr>
              <w:adjustRightInd/>
              <w:spacing w:line="240" w:lineRule="auto"/>
              <w:jc w:val="center"/>
              <w:rPr>
                <w:rFonts w:ascii="宋体" w:hAnsi="宋体" w:cs="宋体"/>
                <w:sz w:val="18"/>
                <w:szCs w:val="18"/>
              </w:rPr>
            </w:pPr>
            <w:r>
              <w:drawing>
                <wp:inline distT="0" distB="0" distL="114300" distR="114300">
                  <wp:extent cx="1440180" cy="1619885"/>
                  <wp:effectExtent l="0" t="0" r="7620" b="184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1"/>
                          <a:stretch>
                            <a:fillRect/>
                          </a:stretch>
                        </pic:blipFill>
                        <pic:spPr>
                          <a:xfrm>
                            <a:off x="0" y="0"/>
                            <a:ext cx="1440180" cy="1619885"/>
                          </a:xfrm>
                          <a:prstGeom prst="rect">
                            <a:avLst/>
                          </a:prstGeom>
                        </pic:spPr>
                      </pic:pic>
                    </a:graphicData>
                  </a:graphic>
                </wp:inline>
              </w:drawing>
            </w:r>
          </w:p>
        </w:tc>
        <w:tc>
          <w:tcPr>
            <w:tcW w:w="1064" w:type="pct"/>
            <w:shd w:val="clear" w:color="auto" w:fill="auto"/>
            <w:noWrap/>
            <w:vAlign w:val="center"/>
          </w:tcPr>
          <w:p w14:paraId="46205DAA">
            <w:pPr>
              <w:adjustRightInd/>
              <w:spacing w:line="240" w:lineRule="auto"/>
              <w:jc w:val="center"/>
              <w:rPr>
                <w:rFonts w:ascii="宋体" w:hAnsi="宋体" w:cs="宋体"/>
                <w:sz w:val="18"/>
                <w:szCs w:val="18"/>
              </w:rPr>
            </w:pPr>
            <w:r>
              <w:rPr>
                <w:rFonts w:hint="eastAsia" w:ascii="宋体" w:hAnsi="宋体" w:cs="宋体"/>
                <w:sz w:val="18"/>
                <w:szCs w:val="18"/>
              </w:rPr>
              <w:t>325 g/L苯甲·嘧菌酯水剂</w:t>
            </w:r>
          </w:p>
          <w:p w14:paraId="62B62B81">
            <w:pPr>
              <w:adjustRightInd/>
              <w:spacing w:line="240" w:lineRule="auto"/>
              <w:jc w:val="center"/>
              <w:rPr>
                <w:rFonts w:ascii="宋体" w:hAnsi="宋体" w:cs="宋体"/>
                <w:sz w:val="18"/>
                <w:szCs w:val="18"/>
              </w:rPr>
            </w:pPr>
            <w:r>
              <w:rPr>
                <w:rFonts w:hint="eastAsia" w:ascii="宋体" w:hAnsi="宋体" w:cs="宋体"/>
                <w:sz w:val="18"/>
                <w:szCs w:val="18"/>
              </w:rPr>
              <w:t>47%春雷·王铜可湿性粉剂</w:t>
            </w:r>
          </w:p>
          <w:p w14:paraId="01AFF186">
            <w:pPr>
              <w:adjustRightInd/>
              <w:spacing w:line="240" w:lineRule="auto"/>
              <w:jc w:val="center"/>
              <w:rPr>
                <w:rFonts w:ascii="宋体" w:hAnsi="宋体" w:cs="宋体"/>
                <w:sz w:val="18"/>
                <w:szCs w:val="18"/>
              </w:rPr>
            </w:pPr>
            <w:r>
              <w:rPr>
                <w:rFonts w:hint="eastAsia" w:ascii="宋体" w:hAnsi="宋体" w:cs="宋体"/>
                <w:sz w:val="18"/>
                <w:szCs w:val="18"/>
              </w:rPr>
              <w:t>2%春雷霉素水剂</w:t>
            </w:r>
          </w:p>
          <w:p w14:paraId="55D1463E">
            <w:pPr>
              <w:adjustRightInd/>
              <w:spacing w:line="240" w:lineRule="auto"/>
              <w:jc w:val="center"/>
              <w:rPr>
                <w:rFonts w:ascii="宋体" w:hAnsi="宋体" w:cs="宋体"/>
                <w:sz w:val="18"/>
                <w:szCs w:val="18"/>
              </w:rPr>
            </w:pPr>
            <w:r>
              <w:rPr>
                <w:rFonts w:hint="eastAsia" w:ascii="宋体" w:hAnsi="宋体" w:cs="宋体"/>
                <w:sz w:val="18"/>
                <w:szCs w:val="18"/>
              </w:rPr>
              <w:t>18.7%丙环·嘧菌酯悬乳剂</w:t>
            </w:r>
          </w:p>
          <w:p w14:paraId="5880AAF1">
            <w:pPr>
              <w:adjustRightInd/>
              <w:spacing w:line="240" w:lineRule="auto"/>
              <w:jc w:val="center"/>
              <w:rPr>
                <w:rFonts w:ascii="宋体" w:hAnsi="宋体" w:cs="宋体"/>
                <w:sz w:val="18"/>
                <w:szCs w:val="18"/>
              </w:rPr>
            </w:pPr>
            <w:r>
              <w:rPr>
                <w:rFonts w:hint="eastAsia" w:ascii="宋体" w:hAnsi="宋体" w:cs="宋体"/>
                <w:sz w:val="18"/>
                <w:szCs w:val="18"/>
              </w:rPr>
              <w:t>62.5g/L精甲·咯菌腈悬浮种衣剂</w:t>
            </w:r>
          </w:p>
          <w:p w14:paraId="5B2AB80A">
            <w:pPr>
              <w:adjustRightInd/>
              <w:spacing w:line="240" w:lineRule="auto"/>
              <w:jc w:val="center"/>
              <w:rPr>
                <w:rFonts w:ascii="宋体" w:hAnsi="宋体" w:cs="宋体"/>
                <w:sz w:val="18"/>
                <w:szCs w:val="18"/>
              </w:rPr>
            </w:pPr>
            <w:r>
              <w:rPr>
                <w:rFonts w:hint="eastAsia" w:ascii="宋体" w:hAnsi="宋体" w:cs="宋体"/>
                <w:sz w:val="18"/>
                <w:szCs w:val="18"/>
              </w:rPr>
              <w:t>1.26%辛菌胺醋酸盐水剂+47%春雷·王铜可湿性粉剂</w:t>
            </w:r>
          </w:p>
        </w:tc>
        <w:tc>
          <w:tcPr>
            <w:tcW w:w="709" w:type="pct"/>
            <w:shd w:val="clear" w:color="auto" w:fill="auto"/>
            <w:noWrap/>
            <w:vAlign w:val="center"/>
          </w:tcPr>
          <w:p w14:paraId="10E34555">
            <w:pPr>
              <w:autoSpaceDE w:val="0"/>
              <w:autoSpaceDN w:val="0"/>
              <w:spacing w:line="240" w:lineRule="auto"/>
              <w:jc w:val="center"/>
              <w:rPr>
                <w:rFonts w:ascii="宋体" w:hAnsi="宋体" w:cs="宋体"/>
                <w:sz w:val="18"/>
                <w:szCs w:val="18"/>
              </w:rPr>
            </w:pPr>
            <w:r>
              <w:rPr>
                <w:rFonts w:hint="eastAsia" w:ascii="宋体" w:hAnsi="宋体" w:cs="宋体"/>
                <w:sz w:val="18"/>
                <w:szCs w:val="18"/>
              </w:rPr>
              <w:t>600～800倍液</w:t>
            </w:r>
          </w:p>
          <w:p w14:paraId="79E77E5B">
            <w:pPr>
              <w:autoSpaceDE w:val="0"/>
              <w:autoSpaceDN w:val="0"/>
              <w:spacing w:line="240" w:lineRule="auto"/>
              <w:jc w:val="center"/>
              <w:rPr>
                <w:rFonts w:ascii="宋体" w:hAnsi="宋体" w:cs="宋体"/>
                <w:sz w:val="18"/>
                <w:szCs w:val="18"/>
              </w:rPr>
            </w:pPr>
            <w:r>
              <w:rPr>
                <w:rFonts w:hint="eastAsia" w:ascii="宋体" w:hAnsi="宋体" w:cs="宋体"/>
                <w:sz w:val="18"/>
                <w:szCs w:val="18"/>
              </w:rPr>
              <w:t>400～800倍液</w:t>
            </w:r>
          </w:p>
          <w:p w14:paraId="40E756E7">
            <w:pPr>
              <w:autoSpaceDE w:val="0"/>
              <w:autoSpaceDN w:val="0"/>
              <w:spacing w:line="240" w:lineRule="auto"/>
              <w:jc w:val="center"/>
              <w:rPr>
                <w:rFonts w:ascii="宋体" w:hAnsi="宋体" w:cs="宋体"/>
                <w:sz w:val="18"/>
                <w:szCs w:val="18"/>
              </w:rPr>
            </w:pPr>
            <w:r>
              <w:rPr>
                <w:rFonts w:hint="eastAsia" w:ascii="宋体" w:hAnsi="宋体" w:cs="宋体"/>
                <w:sz w:val="18"/>
                <w:szCs w:val="18"/>
              </w:rPr>
              <w:t>400～800倍液</w:t>
            </w:r>
          </w:p>
          <w:p w14:paraId="05FDC0DA">
            <w:pPr>
              <w:autoSpaceDE w:val="0"/>
              <w:autoSpaceDN w:val="0"/>
              <w:spacing w:line="240" w:lineRule="auto"/>
              <w:jc w:val="center"/>
              <w:rPr>
                <w:rFonts w:ascii="宋体" w:hAnsi="宋体" w:cs="宋体"/>
                <w:sz w:val="18"/>
                <w:szCs w:val="18"/>
              </w:rPr>
            </w:pPr>
            <w:r>
              <w:rPr>
                <w:rFonts w:hint="eastAsia" w:ascii="宋体" w:hAnsi="宋体" w:cs="宋体"/>
                <w:sz w:val="18"/>
                <w:szCs w:val="18"/>
              </w:rPr>
              <w:t>600～1 000倍液</w:t>
            </w:r>
          </w:p>
          <w:p w14:paraId="72DC1201">
            <w:pPr>
              <w:autoSpaceDE w:val="0"/>
              <w:autoSpaceDN w:val="0"/>
              <w:spacing w:line="240" w:lineRule="auto"/>
              <w:jc w:val="center"/>
              <w:rPr>
                <w:rFonts w:ascii="宋体" w:hAnsi="宋体" w:cs="宋体"/>
                <w:sz w:val="18"/>
                <w:szCs w:val="18"/>
              </w:rPr>
            </w:pPr>
            <w:r>
              <w:rPr>
                <w:rFonts w:hint="eastAsia" w:ascii="宋体" w:hAnsi="宋体" w:cs="宋体"/>
                <w:sz w:val="18"/>
                <w:szCs w:val="18"/>
              </w:rPr>
              <w:t>400～800倍液</w:t>
            </w:r>
          </w:p>
          <w:p w14:paraId="7FABB402">
            <w:pPr>
              <w:autoSpaceDE w:val="0"/>
              <w:autoSpaceDN w:val="0"/>
              <w:spacing w:line="240" w:lineRule="auto"/>
              <w:jc w:val="center"/>
              <w:rPr>
                <w:rFonts w:ascii="宋体" w:hAnsi="宋体" w:cs="宋体"/>
                <w:sz w:val="18"/>
                <w:szCs w:val="18"/>
              </w:rPr>
            </w:pPr>
            <w:r>
              <w:rPr>
                <w:rFonts w:hint="eastAsia" w:ascii="宋体" w:hAnsi="宋体" w:cs="宋体"/>
                <w:sz w:val="18"/>
                <w:szCs w:val="18"/>
              </w:rPr>
              <w:t>200～300倍液</w:t>
            </w:r>
          </w:p>
          <w:p w14:paraId="7925B678">
            <w:pPr>
              <w:autoSpaceDE w:val="0"/>
              <w:autoSpaceDN w:val="0"/>
              <w:spacing w:line="240" w:lineRule="auto"/>
              <w:jc w:val="center"/>
              <w:rPr>
                <w:rFonts w:ascii="宋体" w:hAnsi="宋体" w:cs="宋体"/>
                <w:sz w:val="18"/>
                <w:szCs w:val="18"/>
              </w:rPr>
            </w:pPr>
            <w:r>
              <w:rPr>
                <w:rFonts w:hint="eastAsia" w:ascii="宋体" w:hAnsi="宋体" w:cs="宋体"/>
                <w:sz w:val="18"/>
                <w:szCs w:val="18"/>
              </w:rPr>
              <w:t>600倍液</w:t>
            </w:r>
          </w:p>
        </w:tc>
        <w:tc>
          <w:tcPr>
            <w:tcW w:w="453" w:type="pct"/>
            <w:shd w:val="clear" w:color="auto" w:fill="auto"/>
            <w:noWrap/>
            <w:vAlign w:val="center"/>
          </w:tcPr>
          <w:p w14:paraId="36D622A3">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4FFBA998">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04A61905">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731A7E66">
            <w:pPr>
              <w:autoSpaceDE w:val="0"/>
              <w:autoSpaceDN w:val="0"/>
              <w:spacing w:line="240" w:lineRule="auto"/>
              <w:jc w:val="center"/>
              <w:rPr>
                <w:rFonts w:ascii="宋体" w:hAnsi="宋体" w:cs="宋体"/>
                <w:sz w:val="18"/>
                <w:szCs w:val="18"/>
              </w:rPr>
            </w:pPr>
            <w:r>
              <w:rPr>
                <w:rFonts w:hint="eastAsia" w:ascii="宋体" w:hAnsi="宋体" w:cs="宋体"/>
                <w:sz w:val="18"/>
                <w:szCs w:val="18"/>
              </w:rPr>
              <w:t>28 d</w:t>
            </w:r>
          </w:p>
          <w:p w14:paraId="5A7007FD">
            <w:pPr>
              <w:autoSpaceDE w:val="0"/>
              <w:autoSpaceDN w:val="0"/>
              <w:spacing w:line="240" w:lineRule="auto"/>
              <w:jc w:val="center"/>
              <w:rPr>
                <w:rFonts w:ascii="宋体" w:hAnsi="宋体" w:cs="宋体"/>
                <w:sz w:val="18"/>
                <w:szCs w:val="18"/>
              </w:rPr>
            </w:pPr>
            <w:r>
              <w:rPr>
                <w:rFonts w:hint="eastAsia" w:ascii="宋体" w:hAnsi="宋体" w:cs="宋体"/>
                <w:sz w:val="18"/>
                <w:szCs w:val="18"/>
              </w:rPr>
              <w:t>28 d</w:t>
            </w:r>
          </w:p>
          <w:p w14:paraId="16EF5558">
            <w:pPr>
              <w:autoSpaceDE w:val="0"/>
              <w:autoSpaceDN w:val="0"/>
              <w:spacing w:line="240" w:lineRule="auto"/>
              <w:jc w:val="center"/>
              <w:rPr>
                <w:rFonts w:ascii="宋体" w:hAnsi="宋体" w:cs="宋体"/>
                <w:sz w:val="18"/>
                <w:szCs w:val="18"/>
              </w:rPr>
            </w:pPr>
            <w:r>
              <w:rPr>
                <w:rFonts w:hint="eastAsia" w:ascii="宋体" w:hAnsi="宋体" w:cs="宋体"/>
                <w:sz w:val="18"/>
                <w:szCs w:val="18"/>
              </w:rPr>
              <w:t>14 d</w:t>
            </w:r>
          </w:p>
          <w:p w14:paraId="76A9E20A">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tc>
        <w:tc>
          <w:tcPr>
            <w:tcW w:w="1045" w:type="pct"/>
            <w:shd w:val="clear" w:color="auto" w:fill="auto"/>
            <w:noWrap/>
            <w:vAlign w:val="center"/>
          </w:tcPr>
          <w:p w14:paraId="6E518800">
            <w:pPr>
              <w:autoSpaceDE w:val="0"/>
              <w:autoSpaceDN w:val="0"/>
              <w:spacing w:line="240" w:lineRule="auto"/>
              <w:ind w:firstLine="360" w:firstLineChars="200"/>
              <w:jc w:val="center"/>
              <w:rPr>
                <w:rFonts w:ascii="宋体" w:hAnsi="宋体" w:cs="宋体"/>
                <w:sz w:val="18"/>
                <w:szCs w:val="18"/>
              </w:rPr>
            </w:pPr>
            <w:r>
              <w:rPr>
                <w:rFonts w:hint="eastAsia" w:ascii="宋体" w:hAnsi="宋体" w:cs="宋体"/>
                <w:sz w:val="18"/>
                <w:szCs w:val="18"/>
              </w:rPr>
              <w:t>施药前用刀将病部干胶和老翘皮刮除，再用刀纵横划几道（所划范围要求超出病斑病健交界处，横向1 cm， 纵向3 cm，深度达木质部），后涂抹或喷施，一般涂抹2～3次，间隔7 d～10 d，必要时，在流胶高峰期再涂抹一次，或高浓度喷施，后使用国光涂白剂或松尔液态膜涂抹保护伤口。</w:t>
            </w:r>
          </w:p>
        </w:tc>
      </w:tr>
      <w:tr w14:paraId="1B0C0D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25" w:hRule="atLeast"/>
        </w:trPr>
        <w:tc>
          <w:tcPr>
            <w:tcW w:w="435" w:type="pct"/>
            <w:shd w:val="clear" w:color="auto" w:fill="auto"/>
            <w:noWrap/>
            <w:vAlign w:val="center"/>
          </w:tcPr>
          <w:p w14:paraId="21AFC1DE">
            <w:pPr>
              <w:adjustRightInd/>
              <w:spacing w:line="240" w:lineRule="auto"/>
              <w:jc w:val="center"/>
              <w:rPr>
                <w:rFonts w:ascii="宋体" w:hAnsi="宋体" w:cs="宋体"/>
                <w:sz w:val="18"/>
                <w:szCs w:val="18"/>
              </w:rPr>
            </w:pPr>
            <w:r>
              <w:rPr>
                <w:rFonts w:hint="eastAsia" w:ascii="宋体" w:hAnsi="宋体" w:cs="宋体"/>
                <w:sz w:val="18"/>
                <w:szCs w:val="18"/>
              </w:rPr>
              <w:t>果锈病</w:t>
            </w:r>
          </w:p>
        </w:tc>
        <w:tc>
          <w:tcPr>
            <w:tcW w:w="1291" w:type="pct"/>
            <w:shd w:val="clear" w:color="auto" w:fill="auto"/>
            <w:noWrap/>
            <w:vAlign w:val="center"/>
          </w:tcPr>
          <w:p w14:paraId="6EAD2648">
            <w:pPr>
              <w:adjustRightInd/>
              <w:spacing w:line="240" w:lineRule="auto"/>
              <w:jc w:val="center"/>
              <w:rPr>
                <w:rFonts w:ascii="宋体" w:hAnsi="宋体" w:cs="宋体"/>
                <w:sz w:val="18"/>
                <w:szCs w:val="18"/>
              </w:rPr>
            </w:pPr>
            <w:r>
              <w:drawing>
                <wp:inline distT="0" distB="0" distL="114300" distR="114300">
                  <wp:extent cx="1440180" cy="1548130"/>
                  <wp:effectExtent l="0" t="0" r="7620" b="1397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1440180" cy="1548130"/>
                          </a:xfrm>
                          <a:prstGeom prst="rect">
                            <a:avLst/>
                          </a:prstGeom>
                        </pic:spPr>
                      </pic:pic>
                    </a:graphicData>
                  </a:graphic>
                </wp:inline>
              </w:drawing>
            </w:r>
          </w:p>
        </w:tc>
        <w:tc>
          <w:tcPr>
            <w:tcW w:w="1064" w:type="pct"/>
            <w:shd w:val="clear" w:color="auto" w:fill="auto"/>
            <w:noWrap/>
            <w:vAlign w:val="center"/>
          </w:tcPr>
          <w:p w14:paraId="03A280AF">
            <w:pPr>
              <w:adjustRightInd/>
              <w:spacing w:line="240" w:lineRule="auto"/>
              <w:jc w:val="center"/>
              <w:rPr>
                <w:rFonts w:ascii="宋体" w:hAnsi="宋体" w:cs="宋体"/>
                <w:sz w:val="18"/>
                <w:szCs w:val="18"/>
              </w:rPr>
            </w:pPr>
            <w:r>
              <w:rPr>
                <w:rFonts w:hint="eastAsia" w:ascii="宋体" w:hAnsi="宋体" w:cs="宋体"/>
                <w:sz w:val="18"/>
                <w:szCs w:val="18"/>
              </w:rPr>
              <w:t>30%肟菌·戊唑醇悬浮剂</w:t>
            </w:r>
          </w:p>
          <w:p w14:paraId="0C2F7C0A">
            <w:pPr>
              <w:adjustRightInd/>
              <w:spacing w:line="240" w:lineRule="auto"/>
              <w:jc w:val="center"/>
              <w:rPr>
                <w:rFonts w:ascii="宋体" w:hAnsi="宋体" w:cs="宋体"/>
                <w:sz w:val="18"/>
                <w:szCs w:val="18"/>
              </w:rPr>
            </w:pPr>
            <w:r>
              <w:rPr>
                <w:rFonts w:hint="eastAsia" w:ascii="宋体" w:hAnsi="宋体" w:cs="宋体"/>
                <w:sz w:val="18"/>
                <w:szCs w:val="18"/>
              </w:rPr>
              <w:t>18.7%丙环·嘧菌酯水剂</w:t>
            </w:r>
          </w:p>
          <w:p w14:paraId="14B64388">
            <w:pPr>
              <w:adjustRightInd/>
              <w:spacing w:line="240" w:lineRule="auto"/>
              <w:jc w:val="center"/>
              <w:rPr>
                <w:rFonts w:ascii="宋体" w:hAnsi="宋体" w:cs="宋体"/>
                <w:sz w:val="18"/>
                <w:szCs w:val="18"/>
              </w:rPr>
            </w:pPr>
            <w:r>
              <w:rPr>
                <w:rFonts w:hint="eastAsia" w:ascii="宋体" w:hAnsi="宋体" w:cs="宋体"/>
                <w:sz w:val="18"/>
                <w:szCs w:val="18"/>
              </w:rPr>
              <w:t>40%苯醚甲环唑悬浮剂</w:t>
            </w:r>
          </w:p>
          <w:p w14:paraId="2F497F37">
            <w:pPr>
              <w:adjustRightInd/>
              <w:spacing w:line="240" w:lineRule="auto"/>
              <w:jc w:val="center"/>
              <w:rPr>
                <w:rFonts w:ascii="宋体" w:hAnsi="宋体" w:cs="宋体"/>
                <w:sz w:val="18"/>
                <w:szCs w:val="18"/>
              </w:rPr>
            </w:pPr>
            <w:r>
              <w:rPr>
                <w:rFonts w:hint="eastAsia" w:ascii="宋体" w:hAnsi="宋体" w:cs="宋体"/>
                <w:sz w:val="18"/>
                <w:szCs w:val="18"/>
              </w:rPr>
              <w:t>2%春雷霉素水剂</w:t>
            </w:r>
          </w:p>
          <w:p w14:paraId="31A22D69">
            <w:pPr>
              <w:adjustRightInd/>
              <w:spacing w:line="240" w:lineRule="auto"/>
              <w:jc w:val="center"/>
              <w:rPr>
                <w:rFonts w:ascii="宋体" w:hAnsi="宋体" w:cs="宋体"/>
                <w:sz w:val="18"/>
                <w:szCs w:val="18"/>
              </w:rPr>
            </w:pPr>
            <w:r>
              <w:rPr>
                <w:rFonts w:hint="eastAsia" w:ascii="宋体" w:hAnsi="宋体" w:cs="宋体"/>
                <w:sz w:val="18"/>
                <w:szCs w:val="18"/>
              </w:rPr>
              <w:t>47%春雷·王铜可湿性粉剂</w:t>
            </w:r>
          </w:p>
        </w:tc>
        <w:tc>
          <w:tcPr>
            <w:tcW w:w="709" w:type="pct"/>
            <w:shd w:val="clear" w:color="auto" w:fill="auto"/>
            <w:noWrap/>
            <w:vAlign w:val="center"/>
          </w:tcPr>
          <w:p w14:paraId="35B4D31C">
            <w:pPr>
              <w:autoSpaceDE w:val="0"/>
              <w:autoSpaceDN w:val="0"/>
              <w:spacing w:line="240" w:lineRule="auto"/>
              <w:jc w:val="center"/>
              <w:rPr>
                <w:rFonts w:ascii="宋体" w:hAnsi="宋体" w:cs="宋体"/>
                <w:sz w:val="18"/>
                <w:szCs w:val="18"/>
              </w:rPr>
            </w:pPr>
            <w:r>
              <w:rPr>
                <w:rFonts w:hint="eastAsia" w:ascii="宋体" w:hAnsi="宋体" w:cs="宋体"/>
                <w:sz w:val="18"/>
                <w:szCs w:val="18"/>
              </w:rPr>
              <w:t>600～800倍液</w:t>
            </w:r>
          </w:p>
          <w:p w14:paraId="7513BB53">
            <w:pPr>
              <w:autoSpaceDE w:val="0"/>
              <w:autoSpaceDN w:val="0"/>
              <w:spacing w:line="240" w:lineRule="auto"/>
              <w:jc w:val="center"/>
              <w:rPr>
                <w:rFonts w:ascii="宋体" w:hAnsi="宋体" w:cs="宋体"/>
                <w:sz w:val="18"/>
                <w:szCs w:val="18"/>
              </w:rPr>
            </w:pPr>
            <w:r>
              <w:rPr>
                <w:rFonts w:hint="eastAsia" w:ascii="宋体" w:hAnsi="宋体" w:cs="宋体"/>
                <w:sz w:val="18"/>
                <w:szCs w:val="18"/>
              </w:rPr>
              <w:t>600～1 000倍液</w:t>
            </w:r>
          </w:p>
          <w:p w14:paraId="11065D69">
            <w:pPr>
              <w:autoSpaceDE w:val="0"/>
              <w:autoSpaceDN w:val="0"/>
              <w:spacing w:line="240" w:lineRule="auto"/>
              <w:jc w:val="center"/>
              <w:rPr>
                <w:rFonts w:ascii="宋体" w:hAnsi="宋体" w:cs="宋体"/>
                <w:sz w:val="18"/>
                <w:szCs w:val="18"/>
              </w:rPr>
            </w:pPr>
            <w:r>
              <w:rPr>
                <w:rFonts w:hint="eastAsia" w:ascii="宋体" w:hAnsi="宋体" w:cs="宋体"/>
                <w:sz w:val="18"/>
                <w:szCs w:val="18"/>
              </w:rPr>
              <w:t>800～1 000倍液</w:t>
            </w:r>
          </w:p>
          <w:p w14:paraId="3C3A3B2B">
            <w:pPr>
              <w:autoSpaceDE w:val="0"/>
              <w:autoSpaceDN w:val="0"/>
              <w:spacing w:line="240" w:lineRule="auto"/>
              <w:jc w:val="center"/>
              <w:rPr>
                <w:rFonts w:ascii="宋体" w:hAnsi="宋体" w:cs="宋体"/>
                <w:sz w:val="18"/>
                <w:szCs w:val="18"/>
              </w:rPr>
            </w:pPr>
            <w:r>
              <w:rPr>
                <w:rFonts w:hint="eastAsia" w:ascii="宋体" w:hAnsi="宋体" w:cs="宋体"/>
                <w:sz w:val="18"/>
                <w:szCs w:val="18"/>
              </w:rPr>
              <w:t>400～800倍液</w:t>
            </w:r>
          </w:p>
          <w:p w14:paraId="20FCB90A">
            <w:pPr>
              <w:autoSpaceDE w:val="0"/>
              <w:autoSpaceDN w:val="0"/>
              <w:spacing w:line="240" w:lineRule="auto"/>
              <w:jc w:val="center"/>
              <w:rPr>
                <w:rFonts w:ascii="宋体" w:hAnsi="宋体" w:cs="宋体"/>
                <w:sz w:val="18"/>
                <w:szCs w:val="18"/>
              </w:rPr>
            </w:pPr>
            <w:r>
              <w:rPr>
                <w:rFonts w:hint="eastAsia" w:ascii="宋体" w:hAnsi="宋体" w:cs="宋体"/>
                <w:sz w:val="18"/>
                <w:szCs w:val="18"/>
              </w:rPr>
              <w:t>400～800倍液</w:t>
            </w:r>
          </w:p>
        </w:tc>
        <w:tc>
          <w:tcPr>
            <w:tcW w:w="453" w:type="pct"/>
            <w:shd w:val="clear" w:color="auto" w:fill="auto"/>
            <w:noWrap/>
            <w:vAlign w:val="center"/>
          </w:tcPr>
          <w:p w14:paraId="1A537500">
            <w:pPr>
              <w:autoSpaceDE w:val="0"/>
              <w:autoSpaceDN w:val="0"/>
              <w:spacing w:line="240" w:lineRule="auto"/>
              <w:jc w:val="center"/>
              <w:rPr>
                <w:rFonts w:ascii="宋体" w:hAnsi="宋体" w:cs="宋体"/>
                <w:sz w:val="18"/>
                <w:szCs w:val="18"/>
              </w:rPr>
            </w:pPr>
            <w:r>
              <w:rPr>
                <w:rFonts w:hint="eastAsia" w:ascii="宋体" w:hAnsi="宋体" w:cs="宋体"/>
                <w:sz w:val="18"/>
                <w:szCs w:val="18"/>
              </w:rPr>
              <w:t>35 d</w:t>
            </w:r>
          </w:p>
          <w:p w14:paraId="0EBC359A">
            <w:pPr>
              <w:autoSpaceDE w:val="0"/>
              <w:autoSpaceDN w:val="0"/>
              <w:spacing w:line="240" w:lineRule="auto"/>
              <w:jc w:val="center"/>
              <w:rPr>
                <w:rFonts w:ascii="宋体" w:hAnsi="宋体" w:cs="宋体"/>
                <w:sz w:val="18"/>
                <w:szCs w:val="18"/>
              </w:rPr>
            </w:pPr>
            <w:r>
              <w:rPr>
                <w:rFonts w:hint="eastAsia" w:ascii="宋体" w:hAnsi="宋体" w:cs="宋体"/>
                <w:sz w:val="18"/>
                <w:szCs w:val="18"/>
              </w:rPr>
              <w:t>28 d</w:t>
            </w:r>
          </w:p>
          <w:p w14:paraId="65611C0D">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597E0706">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52E04506">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tc>
        <w:tc>
          <w:tcPr>
            <w:tcW w:w="1045" w:type="pct"/>
            <w:shd w:val="clear" w:color="auto" w:fill="auto"/>
            <w:noWrap/>
            <w:vAlign w:val="center"/>
          </w:tcPr>
          <w:p w14:paraId="00C4DAD7">
            <w:pPr>
              <w:autoSpaceDE w:val="0"/>
              <w:autoSpaceDN w:val="0"/>
              <w:spacing w:line="240" w:lineRule="auto"/>
              <w:ind w:firstLine="360" w:firstLineChars="200"/>
              <w:jc w:val="center"/>
              <w:rPr>
                <w:rFonts w:ascii="宋体" w:hAnsi="宋体" w:cs="宋体"/>
                <w:sz w:val="18"/>
                <w:szCs w:val="18"/>
              </w:rPr>
            </w:pPr>
            <w:r>
              <w:rPr>
                <w:rFonts w:hint="eastAsia" w:ascii="宋体" w:hAnsi="宋体" w:cs="宋体"/>
                <w:sz w:val="18"/>
                <w:szCs w:val="18"/>
              </w:rPr>
              <w:t>雌花佛焰苞片脱落时，选择各一种混施，前一个月，每</w:t>
            </w:r>
            <w:r>
              <w:rPr>
                <w:rFonts w:hint="eastAsia" w:ascii="宋体" w:hAnsi="宋体" w:cs="宋体"/>
                <w:sz w:val="18"/>
                <w:szCs w:val="18"/>
                <w:lang w:val="en-US" w:eastAsia="zh-CN"/>
              </w:rPr>
              <w:t xml:space="preserve"> </w:t>
            </w:r>
            <w:r>
              <w:rPr>
                <w:rFonts w:hint="eastAsia" w:ascii="宋体" w:hAnsi="宋体" w:cs="宋体"/>
                <w:sz w:val="18"/>
                <w:szCs w:val="18"/>
              </w:rPr>
              <w:t>5 d防治一次，防治5次后，每</w:t>
            </w:r>
            <w:r>
              <w:rPr>
                <w:rFonts w:hint="eastAsia" w:ascii="宋体" w:hAnsi="宋体" w:cs="宋体"/>
                <w:sz w:val="18"/>
                <w:szCs w:val="18"/>
                <w:lang w:val="en-US" w:eastAsia="zh-CN"/>
              </w:rPr>
              <w:t xml:space="preserve"> </w:t>
            </w:r>
            <w:r>
              <w:rPr>
                <w:rFonts w:hint="eastAsia" w:ascii="宋体" w:hAnsi="宋体" w:cs="宋体"/>
                <w:sz w:val="18"/>
                <w:szCs w:val="18"/>
              </w:rPr>
              <w:t>7 d～10 d左右喷药1次。</w:t>
            </w:r>
          </w:p>
        </w:tc>
      </w:tr>
      <w:tr w14:paraId="1FDC22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435" w:type="pct"/>
            <w:noWrap/>
            <w:vAlign w:val="center"/>
          </w:tcPr>
          <w:p w14:paraId="38708A7A">
            <w:pPr>
              <w:adjustRightInd/>
              <w:spacing w:line="240" w:lineRule="auto"/>
              <w:jc w:val="center"/>
              <w:rPr>
                <w:rFonts w:ascii="宋体" w:hAnsi="宋体" w:cs="宋体"/>
                <w:sz w:val="18"/>
                <w:szCs w:val="18"/>
              </w:rPr>
            </w:pPr>
            <w:r>
              <w:rPr>
                <w:rFonts w:hint="eastAsia" w:ascii="宋体" w:hAnsi="宋体" w:cs="宋体"/>
                <w:sz w:val="18"/>
                <w:szCs w:val="18"/>
              </w:rPr>
              <w:t>炭疽病</w:t>
            </w:r>
          </w:p>
        </w:tc>
        <w:tc>
          <w:tcPr>
            <w:tcW w:w="1291" w:type="pct"/>
            <w:noWrap/>
            <w:vAlign w:val="center"/>
          </w:tcPr>
          <w:p w14:paraId="507D4EC3">
            <w:pPr>
              <w:adjustRightInd/>
              <w:spacing w:line="240" w:lineRule="auto"/>
              <w:jc w:val="center"/>
              <w:rPr>
                <w:rFonts w:ascii="宋体" w:hAnsi="宋体" w:cs="宋体"/>
                <w:sz w:val="18"/>
                <w:szCs w:val="18"/>
              </w:rPr>
            </w:pPr>
            <w:r>
              <w:drawing>
                <wp:inline distT="0" distB="0" distL="114935" distR="114935">
                  <wp:extent cx="1619885" cy="1440180"/>
                  <wp:effectExtent l="0" t="0" r="7620" b="18415"/>
                  <wp:docPr id="68618" name="图片 34825" descr="dsc01094"/>
                  <wp:cNvGraphicFramePr/>
                  <a:graphic xmlns:a="http://schemas.openxmlformats.org/drawingml/2006/main">
                    <a:graphicData uri="http://schemas.openxmlformats.org/drawingml/2006/picture">
                      <pic:pic xmlns:pic="http://schemas.openxmlformats.org/drawingml/2006/picture">
                        <pic:nvPicPr>
                          <pic:cNvPr id="68618" name="图片 34825" descr="dsc01094"/>
                          <pic:cNvPicPr/>
                        </pic:nvPicPr>
                        <pic:blipFill>
                          <a:blip r:embed="rId23" cstate="print"/>
                          <a:stretch>
                            <a:fillRect/>
                          </a:stretch>
                        </pic:blipFill>
                        <pic:spPr>
                          <a:xfrm rot="16200000">
                            <a:off x="0" y="0"/>
                            <a:ext cx="1619885" cy="1440180"/>
                          </a:xfrm>
                          <a:prstGeom prst="rect">
                            <a:avLst/>
                          </a:prstGeom>
                          <a:ln w="9525">
                            <a:noFill/>
                          </a:ln>
                        </pic:spPr>
                      </pic:pic>
                    </a:graphicData>
                  </a:graphic>
                </wp:inline>
              </w:drawing>
            </w:r>
            <w:r>
              <w:rPr>
                <w:sz w:val="18"/>
              </w:rPr>
              <mc:AlternateContent>
                <mc:Choice Requires="wps">
                  <w:drawing>
                    <wp:anchor distT="0" distB="0" distL="114300" distR="114300" simplePos="0" relativeHeight="251661312" behindDoc="0" locked="0" layoutInCell="1" allowOverlap="1">
                      <wp:simplePos x="0" y="0"/>
                      <wp:positionH relativeFrom="column">
                        <wp:posOffset>22860</wp:posOffset>
                      </wp:positionH>
                      <wp:positionV relativeFrom="paragraph">
                        <wp:posOffset>631190</wp:posOffset>
                      </wp:positionV>
                      <wp:extent cx="1038225" cy="102870"/>
                      <wp:effectExtent l="0" t="0" r="0" b="0"/>
                      <wp:wrapNone/>
                      <wp:docPr id="68617" name="文本框 34824"/>
                      <wp:cNvGraphicFramePr/>
                      <a:graphic xmlns:a="http://schemas.openxmlformats.org/drawingml/2006/main">
                        <a:graphicData uri="http://schemas.microsoft.com/office/word/2010/wordprocessingShape">
                          <wps:wsp>
                            <wps:cNvSpPr/>
                            <wps:spPr>
                              <a:xfrm>
                                <a:off x="1140460" y="3885565"/>
                                <a:ext cx="1038225" cy="102870"/>
                              </a:xfrm>
                              <a:prstGeom prst="rect">
                                <a:avLst/>
                              </a:prstGeom>
                              <a:ln w="9525">
                                <a:noFill/>
                              </a:ln>
                            </wps:spPr>
                            <wps:txbx>
                              <w:txbxContent>
                                <w:p w14:paraId="7869F979">
                                  <w:pPr>
                                    <w:pStyle w:val="26"/>
                                    <w:spacing w:line="240" w:lineRule="auto"/>
                                    <w:jc w:val="center"/>
                                    <w:textAlignment w:val="baseline"/>
                                  </w:pPr>
                                  <w:r>
                                    <w:rPr>
                                      <w:rFonts w:ascii="Arial" w:hAnsiTheme="minorBidi"/>
                                      <w:color w:val="000000" w:themeColor="text1"/>
                                      <w:kern w:val="24"/>
                                      <w:sz w:val="36"/>
                                      <w:szCs w:val="36"/>
                                      <w14:textFill>
                                        <w14:solidFill>
                                          <w14:schemeClr w14:val="tx1"/>
                                        </w14:solidFill>
                                      </w14:textFill>
                                    </w:rPr>
                                    <w:t xml:space="preserve">     </w:t>
                                  </w:r>
                                </w:p>
                              </w:txbxContent>
                            </wps:txbx>
                            <wps:bodyPr lIns="0" tIns="0" rIns="0" bIns="0"/>
                          </wps:wsp>
                        </a:graphicData>
                      </a:graphic>
                    </wp:anchor>
                  </w:drawing>
                </mc:Choice>
                <mc:Fallback>
                  <w:pict>
                    <v:rect id="文本框 34824" o:spid="_x0000_s1026" o:spt="1" style="position:absolute;left:0pt;margin-left:1.8pt;margin-top:49.7pt;height:8.1pt;width:81.75pt;z-index:251661312;mso-width-relative:page;mso-height-relative:page;" filled="f" stroked="f" coordsize="21600,21600" o:gfxdata="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Ge+ne2QAAAAgBAAAPAAAAAAAAAAEAIAAAACIAAABkcnMvZG93&#10;bnJldi54bWxQSwECFAAUAAAACACHTuJAgYcf/cYBAABuAwAADgAAAAAAAAABACAAAAAoAQAAZHJz&#10;L2Uyb0RvYy54bWxQSwUGAAAAAAYABgBZAQAAYAUAAAAA&#10;">
                      <v:fill on="f" focussize="0,0"/>
                      <v:stroke on="f"/>
                      <v:imagedata o:title=""/>
                      <o:lock v:ext="edit" aspectratio="f"/>
                      <v:textbox inset="0mm,0mm,0mm,0mm">
                        <w:txbxContent>
                          <w:p w14:paraId="7869F979">
                            <w:pPr>
                              <w:pStyle w:val="26"/>
                              <w:spacing w:line="240" w:lineRule="auto"/>
                              <w:jc w:val="center"/>
                              <w:textAlignment w:val="baseline"/>
                            </w:pPr>
                            <w:r>
                              <w:rPr>
                                <w:rFonts w:ascii="Arial" w:hAnsiTheme="minorBidi"/>
                                <w:color w:val="000000" w:themeColor="text1"/>
                                <w:kern w:val="24"/>
                                <w:sz w:val="36"/>
                                <w:szCs w:val="36"/>
                                <w14:textFill>
                                  <w14:solidFill>
                                    <w14:schemeClr w14:val="tx1"/>
                                  </w14:solidFill>
                                </w14:textFill>
                              </w:rPr>
                              <w:t xml:space="preserve">     </w:t>
                            </w:r>
                          </w:p>
                        </w:txbxContent>
                      </v:textbox>
                    </v:rect>
                  </w:pict>
                </mc:Fallback>
              </mc:AlternateContent>
            </w:r>
          </w:p>
        </w:tc>
        <w:tc>
          <w:tcPr>
            <w:tcW w:w="1064" w:type="pct"/>
            <w:noWrap/>
            <w:vAlign w:val="center"/>
          </w:tcPr>
          <w:p w14:paraId="7243684D">
            <w:pPr>
              <w:adjustRightInd/>
              <w:spacing w:line="240" w:lineRule="auto"/>
              <w:jc w:val="center"/>
              <w:rPr>
                <w:rFonts w:ascii="宋体" w:hAnsi="宋体" w:cs="宋体"/>
                <w:sz w:val="18"/>
                <w:szCs w:val="18"/>
              </w:rPr>
            </w:pPr>
            <w:r>
              <w:rPr>
                <w:rFonts w:hint="eastAsia" w:ascii="宋体" w:hAnsi="宋体" w:cs="宋体"/>
                <w:sz w:val="18"/>
                <w:szCs w:val="18"/>
              </w:rPr>
              <w:t>70%甲基硫菌灵可湿性粉剂</w:t>
            </w:r>
          </w:p>
          <w:p w14:paraId="1F054D88">
            <w:pPr>
              <w:adjustRightInd/>
              <w:spacing w:line="240" w:lineRule="auto"/>
              <w:jc w:val="center"/>
              <w:rPr>
                <w:rFonts w:ascii="宋体" w:hAnsi="宋体" w:cs="宋体"/>
                <w:sz w:val="18"/>
                <w:szCs w:val="18"/>
              </w:rPr>
            </w:pPr>
            <w:r>
              <w:rPr>
                <w:rFonts w:hint="eastAsia" w:ascii="宋体" w:hAnsi="宋体" w:cs="宋体"/>
                <w:sz w:val="18"/>
                <w:szCs w:val="18"/>
              </w:rPr>
              <w:t>80%代森锰锌可湿性粉剂</w:t>
            </w:r>
          </w:p>
          <w:p w14:paraId="297C221D">
            <w:pPr>
              <w:adjustRightInd/>
              <w:spacing w:line="240" w:lineRule="auto"/>
              <w:jc w:val="center"/>
              <w:rPr>
                <w:rFonts w:ascii="宋体" w:hAnsi="宋体" w:cs="宋体"/>
                <w:sz w:val="18"/>
                <w:szCs w:val="18"/>
              </w:rPr>
            </w:pPr>
            <w:r>
              <w:rPr>
                <w:rFonts w:hint="eastAsia" w:ascii="宋体" w:hAnsi="宋体" w:cs="宋体"/>
                <w:sz w:val="18"/>
                <w:szCs w:val="18"/>
              </w:rPr>
              <w:t>18.7%丙环·嘧菌酯水剂</w:t>
            </w:r>
          </w:p>
          <w:p w14:paraId="1A3585DC">
            <w:pPr>
              <w:adjustRightInd/>
              <w:spacing w:line="240" w:lineRule="auto"/>
              <w:jc w:val="center"/>
              <w:rPr>
                <w:rFonts w:ascii="宋体" w:hAnsi="宋体" w:cs="宋体"/>
                <w:sz w:val="18"/>
                <w:szCs w:val="18"/>
              </w:rPr>
            </w:pPr>
            <w:r>
              <w:rPr>
                <w:rFonts w:hint="eastAsia" w:ascii="宋体" w:hAnsi="宋体" w:cs="宋体"/>
                <w:sz w:val="18"/>
                <w:szCs w:val="18"/>
              </w:rPr>
              <w:t>45%咪鲜胺水乳剂</w:t>
            </w:r>
          </w:p>
          <w:p w14:paraId="125CFBCD">
            <w:pPr>
              <w:adjustRightInd/>
              <w:spacing w:line="240" w:lineRule="auto"/>
              <w:jc w:val="center"/>
              <w:rPr>
                <w:rFonts w:ascii="宋体" w:hAnsi="宋体" w:cs="宋体"/>
                <w:sz w:val="18"/>
                <w:szCs w:val="18"/>
              </w:rPr>
            </w:pPr>
            <w:r>
              <w:rPr>
                <w:rFonts w:hint="eastAsia" w:ascii="宋体" w:hAnsi="宋体" w:cs="宋体"/>
                <w:sz w:val="18"/>
                <w:szCs w:val="18"/>
              </w:rPr>
              <w:t>75%肟菌·戊唑醇水分散粒剂</w:t>
            </w:r>
          </w:p>
        </w:tc>
        <w:tc>
          <w:tcPr>
            <w:tcW w:w="709" w:type="pct"/>
            <w:noWrap/>
            <w:vAlign w:val="center"/>
          </w:tcPr>
          <w:p w14:paraId="1434A7C4">
            <w:pPr>
              <w:adjustRightInd/>
              <w:spacing w:line="240" w:lineRule="auto"/>
              <w:jc w:val="center"/>
              <w:rPr>
                <w:rFonts w:ascii="宋体" w:hAnsi="宋体" w:cs="宋体"/>
                <w:sz w:val="18"/>
                <w:szCs w:val="18"/>
              </w:rPr>
            </w:pPr>
            <w:r>
              <w:rPr>
                <w:rFonts w:hint="eastAsia" w:ascii="宋体" w:hAnsi="宋体" w:cs="宋体"/>
                <w:sz w:val="18"/>
                <w:szCs w:val="18"/>
              </w:rPr>
              <w:t>500 倍液</w:t>
            </w:r>
          </w:p>
          <w:p w14:paraId="4314B7D6">
            <w:pPr>
              <w:adjustRightInd/>
              <w:spacing w:line="240" w:lineRule="auto"/>
              <w:jc w:val="center"/>
              <w:rPr>
                <w:rFonts w:ascii="宋体" w:hAnsi="宋体" w:cs="宋体"/>
                <w:sz w:val="18"/>
                <w:szCs w:val="18"/>
              </w:rPr>
            </w:pPr>
            <w:r>
              <w:rPr>
                <w:rFonts w:hint="eastAsia" w:ascii="宋体" w:hAnsi="宋体" w:cs="宋体"/>
                <w:sz w:val="18"/>
                <w:szCs w:val="18"/>
              </w:rPr>
              <w:t>500～600 倍液</w:t>
            </w:r>
          </w:p>
          <w:p w14:paraId="0CDD57F9">
            <w:pPr>
              <w:adjustRightInd/>
              <w:spacing w:line="240" w:lineRule="auto"/>
              <w:jc w:val="center"/>
              <w:rPr>
                <w:rFonts w:ascii="宋体" w:hAnsi="宋体" w:cs="宋体"/>
                <w:sz w:val="18"/>
                <w:szCs w:val="18"/>
              </w:rPr>
            </w:pPr>
            <w:r>
              <w:rPr>
                <w:rFonts w:hint="eastAsia" w:ascii="宋体" w:hAnsi="宋体" w:cs="宋体"/>
                <w:sz w:val="18"/>
                <w:szCs w:val="18"/>
              </w:rPr>
              <w:t>2 000 倍液</w:t>
            </w:r>
          </w:p>
          <w:p w14:paraId="2284AD05">
            <w:pPr>
              <w:adjustRightInd/>
              <w:spacing w:line="240" w:lineRule="auto"/>
              <w:jc w:val="center"/>
              <w:rPr>
                <w:rFonts w:ascii="宋体" w:hAnsi="宋体" w:cs="宋体"/>
                <w:sz w:val="18"/>
                <w:szCs w:val="18"/>
              </w:rPr>
            </w:pPr>
            <w:r>
              <w:rPr>
                <w:rFonts w:hint="eastAsia" w:ascii="宋体" w:hAnsi="宋体" w:cs="宋体"/>
                <w:sz w:val="18"/>
                <w:szCs w:val="18"/>
              </w:rPr>
              <w:t>1 000 倍液</w:t>
            </w:r>
          </w:p>
          <w:p w14:paraId="56EE702F">
            <w:pPr>
              <w:adjustRightInd/>
              <w:spacing w:line="240" w:lineRule="auto"/>
              <w:jc w:val="center"/>
              <w:rPr>
                <w:rFonts w:ascii="宋体" w:hAnsi="宋体" w:cs="宋体"/>
                <w:sz w:val="18"/>
                <w:szCs w:val="18"/>
              </w:rPr>
            </w:pPr>
            <w:r>
              <w:rPr>
                <w:rFonts w:hint="eastAsia" w:ascii="宋体" w:hAnsi="宋体" w:cs="宋体"/>
                <w:sz w:val="18"/>
                <w:szCs w:val="18"/>
              </w:rPr>
              <w:t>3 000 倍液</w:t>
            </w:r>
          </w:p>
        </w:tc>
        <w:tc>
          <w:tcPr>
            <w:tcW w:w="453" w:type="pct"/>
            <w:noWrap/>
            <w:vAlign w:val="center"/>
          </w:tcPr>
          <w:p w14:paraId="14528CF9">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3DF6F463">
            <w:pPr>
              <w:autoSpaceDE w:val="0"/>
              <w:autoSpaceDN w:val="0"/>
              <w:spacing w:line="240" w:lineRule="auto"/>
              <w:jc w:val="center"/>
              <w:rPr>
                <w:rFonts w:ascii="宋体" w:hAnsi="宋体" w:cs="宋体"/>
                <w:sz w:val="18"/>
                <w:szCs w:val="18"/>
              </w:rPr>
            </w:pPr>
            <w:r>
              <w:rPr>
                <w:rFonts w:hint="eastAsia" w:ascii="宋体" w:hAnsi="宋体" w:cs="宋体"/>
                <w:sz w:val="18"/>
                <w:szCs w:val="18"/>
              </w:rPr>
              <w:t>15 d</w:t>
            </w:r>
          </w:p>
          <w:p w14:paraId="460A6231">
            <w:pPr>
              <w:autoSpaceDE w:val="0"/>
              <w:autoSpaceDN w:val="0"/>
              <w:spacing w:line="240" w:lineRule="auto"/>
              <w:jc w:val="center"/>
              <w:rPr>
                <w:rFonts w:ascii="宋体" w:hAnsi="宋体" w:cs="宋体"/>
                <w:sz w:val="18"/>
                <w:szCs w:val="18"/>
              </w:rPr>
            </w:pPr>
            <w:r>
              <w:rPr>
                <w:rFonts w:hint="eastAsia" w:ascii="宋体" w:hAnsi="宋体" w:cs="宋体"/>
                <w:sz w:val="18"/>
                <w:szCs w:val="18"/>
              </w:rPr>
              <w:t>28 d</w:t>
            </w:r>
          </w:p>
          <w:p w14:paraId="1765BEAE">
            <w:pPr>
              <w:autoSpaceDE w:val="0"/>
              <w:autoSpaceDN w:val="0"/>
              <w:spacing w:line="240" w:lineRule="auto"/>
              <w:jc w:val="center"/>
              <w:rPr>
                <w:rFonts w:ascii="宋体" w:hAnsi="宋体" w:cs="宋体"/>
                <w:sz w:val="18"/>
                <w:szCs w:val="18"/>
              </w:rPr>
            </w:pPr>
            <w:r>
              <w:rPr>
                <w:rFonts w:hint="eastAsia" w:ascii="宋体" w:hAnsi="宋体" w:cs="宋体"/>
                <w:sz w:val="18"/>
                <w:szCs w:val="18"/>
              </w:rPr>
              <w:t>14 d</w:t>
            </w:r>
          </w:p>
          <w:p w14:paraId="3550DAA0">
            <w:pPr>
              <w:autoSpaceDE w:val="0"/>
              <w:autoSpaceDN w:val="0"/>
              <w:spacing w:line="240" w:lineRule="auto"/>
              <w:jc w:val="center"/>
              <w:rPr>
                <w:rFonts w:ascii="宋体" w:hAnsi="宋体" w:cs="宋体"/>
                <w:sz w:val="18"/>
                <w:szCs w:val="18"/>
              </w:rPr>
            </w:pPr>
            <w:r>
              <w:rPr>
                <w:rFonts w:hint="eastAsia" w:ascii="宋体" w:hAnsi="宋体" w:cs="宋体"/>
                <w:sz w:val="18"/>
                <w:szCs w:val="18"/>
              </w:rPr>
              <w:t>28 d</w:t>
            </w:r>
          </w:p>
        </w:tc>
        <w:tc>
          <w:tcPr>
            <w:tcW w:w="1045" w:type="pct"/>
            <w:noWrap/>
            <w:vAlign w:val="center"/>
          </w:tcPr>
          <w:p w14:paraId="79DFF58D">
            <w:pPr>
              <w:adjustRightInd/>
              <w:spacing w:line="240" w:lineRule="auto"/>
              <w:ind w:firstLine="360" w:firstLineChars="200"/>
              <w:jc w:val="center"/>
              <w:rPr>
                <w:rFonts w:ascii="宋体" w:hAnsi="宋体" w:cs="宋体"/>
                <w:sz w:val="18"/>
                <w:szCs w:val="18"/>
              </w:rPr>
            </w:pPr>
            <w:r>
              <w:rPr>
                <w:rFonts w:hint="eastAsia" w:ascii="宋体" w:hAnsi="宋体" w:cs="宋体"/>
                <w:sz w:val="18"/>
                <w:szCs w:val="18"/>
              </w:rPr>
              <w:t>花期和幼果期是预防关键时期，发病前选用前2种药进行预防。发病后选用后面药剂加螯合氨基酸钙镁叶面肥，每隔 7 d 喷施 1 次，连续喷施 2～3 次。</w:t>
            </w:r>
          </w:p>
        </w:tc>
      </w:tr>
      <w:tr w14:paraId="46BB4D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73" w:hRule="atLeast"/>
        </w:trPr>
        <w:tc>
          <w:tcPr>
            <w:tcW w:w="435" w:type="pct"/>
            <w:noWrap/>
            <w:vAlign w:val="center"/>
          </w:tcPr>
          <w:p w14:paraId="5B2D00D3">
            <w:pPr>
              <w:adjustRightInd/>
              <w:spacing w:line="240" w:lineRule="auto"/>
              <w:jc w:val="center"/>
              <w:rPr>
                <w:rFonts w:ascii="宋体" w:hAnsi="宋体" w:cs="宋体"/>
                <w:sz w:val="18"/>
                <w:szCs w:val="18"/>
              </w:rPr>
            </w:pPr>
            <w:r>
              <w:rPr>
                <w:rFonts w:hint="eastAsia" w:ascii="宋体" w:hAnsi="宋体" w:cs="宋体"/>
                <w:sz w:val="18"/>
                <w:szCs w:val="18"/>
              </w:rPr>
              <w:t>叶斑病</w:t>
            </w:r>
          </w:p>
        </w:tc>
        <w:tc>
          <w:tcPr>
            <w:tcW w:w="1291" w:type="pct"/>
            <w:noWrap/>
            <w:vAlign w:val="center"/>
          </w:tcPr>
          <w:p w14:paraId="688594E3">
            <w:pPr>
              <w:adjustRightInd/>
              <w:spacing w:line="240" w:lineRule="auto"/>
              <w:jc w:val="center"/>
              <w:rPr>
                <w:rFonts w:ascii="宋体" w:hAnsi="宋体" w:cs="宋体"/>
                <w:sz w:val="18"/>
                <w:szCs w:val="18"/>
              </w:rPr>
            </w:pPr>
            <w:r>
              <w:rPr>
                <w:rFonts w:hint="eastAsia" w:ascii="宋体" w:hAnsi="宋体" w:cs="宋体"/>
                <w:sz w:val="18"/>
                <w:szCs w:val="18"/>
              </w:rPr>
              <w:drawing>
                <wp:inline distT="0" distB="0" distL="114300" distR="114300">
                  <wp:extent cx="1440180" cy="1619885"/>
                  <wp:effectExtent l="0" t="0" r="7620" b="18415"/>
                  <wp:docPr id="16" name="图片 16" descr="2cdc9e1427c69fe93245b2717651b1b"/>
                  <wp:cNvGraphicFramePr/>
                  <a:graphic xmlns:a="http://schemas.openxmlformats.org/drawingml/2006/main">
                    <a:graphicData uri="http://schemas.openxmlformats.org/drawingml/2006/picture">
                      <pic:pic xmlns:pic="http://schemas.openxmlformats.org/drawingml/2006/picture">
                        <pic:nvPicPr>
                          <pic:cNvPr id="16" name="图片 16" descr="2cdc9e1427c69fe93245b2717651b1b"/>
                          <pic:cNvPicPr/>
                        </pic:nvPicPr>
                        <pic:blipFill>
                          <a:blip r:embed="rId24"/>
                          <a:srcRect l="64633" t="45813" r="17278" b="35692"/>
                          <a:stretch>
                            <a:fillRect/>
                          </a:stretch>
                        </pic:blipFill>
                        <pic:spPr>
                          <a:xfrm>
                            <a:off x="0" y="0"/>
                            <a:ext cx="1440180" cy="1619885"/>
                          </a:xfrm>
                          <a:prstGeom prst="rect">
                            <a:avLst/>
                          </a:prstGeom>
                        </pic:spPr>
                      </pic:pic>
                    </a:graphicData>
                  </a:graphic>
                </wp:inline>
              </w:drawing>
            </w:r>
          </w:p>
        </w:tc>
        <w:tc>
          <w:tcPr>
            <w:tcW w:w="1064" w:type="pct"/>
            <w:noWrap/>
            <w:vAlign w:val="center"/>
          </w:tcPr>
          <w:p w14:paraId="67ADBA6E">
            <w:pPr>
              <w:autoSpaceDE w:val="0"/>
              <w:autoSpaceDN w:val="0"/>
              <w:spacing w:line="240" w:lineRule="auto"/>
              <w:jc w:val="center"/>
              <w:rPr>
                <w:rFonts w:ascii="宋体" w:hAnsi="宋体" w:cs="宋体"/>
                <w:sz w:val="18"/>
                <w:szCs w:val="18"/>
              </w:rPr>
            </w:pPr>
            <w:r>
              <w:rPr>
                <w:rFonts w:hint="eastAsia" w:ascii="宋体" w:hAnsi="宋体" w:cs="宋体"/>
                <w:sz w:val="18"/>
                <w:szCs w:val="18"/>
              </w:rPr>
              <w:t>70%甲基硫菌灵可湿性粉剂</w:t>
            </w:r>
          </w:p>
          <w:p w14:paraId="0ED5F25E">
            <w:pPr>
              <w:autoSpaceDE w:val="0"/>
              <w:autoSpaceDN w:val="0"/>
              <w:spacing w:line="240" w:lineRule="auto"/>
              <w:jc w:val="center"/>
              <w:rPr>
                <w:rFonts w:ascii="宋体" w:hAnsi="宋体" w:cs="宋体"/>
                <w:sz w:val="18"/>
                <w:szCs w:val="18"/>
              </w:rPr>
            </w:pPr>
            <w:r>
              <w:rPr>
                <w:rFonts w:hint="eastAsia" w:ascii="宋体" w:hAnsi="宋体" w:cs="宋体"/>
                <w:sz w:val="18"/>
                <w:szCs w:val="18"/>
              </w:rPr>
              <w:t>250 g/L吡唑醚菌酯乳油</w:t>
            </w:r>
          </w:p>
          <w:p w14:paraId="40BFC2E9">
            <w:pPr>
              <w:autoSpaceDE w:val="0"/>
              <w:autoSpaceDN w:val="0"/>
              <w:spacing w:line="240" w:lineRule="auto"/>
              <w:jc w:val="center"/>
              <w:rPr>
                <w:rFonts w:ascii="宋体" w:hAnsi="宋体" w:cs="宋体"/>
                <w:sz w:val="18"/>
                <w:szCs w:val="18"/>
              </w:rPr>
            </w:pPr>
            <w:r>
              <w:rPr>
                <w:rFonts w:hint="eastAsia" w:ascii="宋体" w:hAnsi="宋体" w:cs="宋体"/>
                <w:sz w:val="18"/>
                <w:szCs w:val="18"/>
              </w:rPr>
              <w:t>250 g/L丙环唑乳油</w:t>
            </w:r>
          </w:p>
          <w:p w14:paraId="17A5386B">
            <w:pPr>
              <w:autoSpaceDE w:val="0"/>
              <w:autoSpaceDN w:val="0"/>
              <w:spacing w:line="240" w:lineRule="auto"/>
              <w:jc w:val="center"/>
              <w:rPr>
                <w:rFonts w:ascii="宋体" w:hAnsi="宋体" w:cs="宋体"/>
                <w:sz w:val="18"/>
                <w:szCs w:val="18"/>
              </w:rPr>
            </w:pPr>
            <w:r>
              <w:rPr>
                <w:rFonts w:hint="eastAsia" w:ascii="宋体" w:hAnsi="宋体" w:cs="宋体"/>
                <w:sz w:val="18"/>
                <w:szCs w:val="18"/>
              </w:rPr>
              <w:t>10%苯醚甲环唑水乳剂</w:t>
            </w:r>
          </w:p>
        </w:tc>
        <w:tc>
          <w:tcPr>
            <w:tcW w:w="709" w:type="pct"/>
            <w:noWrap/>
            <w:vAlign w:val="center"/>
          </w:tcPr>
          <w:p w14:paraId="38721732">
            <w:pPr>
              <w:autoSpaceDE w:val="0"/>
              <w:autoSpaceDN w:val="0"/>
              <w:spacing w:line="240" w:lineRule="auto"/>
              <w:jc w:val="center"/>
              <w:rPr>
                <w:rFonts w:ascii="宋体" w:hAnsi="宋体" w:cs="宋体"/>
                <w:sz w:val="18"/>
                <w:szCs w:val="18"/>
              </w:rPr>
            </w:pPr>
            <w:r>
              <w:rPr>
                <w:rFonts w:hint="eastAsia" w:ascii="宋体" w:hAnsi="宋体" w:cs="宋体"/>
                <w:sz w:val="18"/>
                <w:szCs w:val="18"/>
              </w:rPr>
              <w:t>500倍液</w:t>
            </w:r>
          </w:p>
          <w:p w14:paraId="0BF0A718">
            <w:pPr>
              <w:autoSpaceDE w:val="0"/>
              <w:autoSpaceDN w:val="0"/>
              <w:spacing w:line="240" w:lineRule="auto"/>
              <w:jc w:val="center"/>
              <w:rPr>
                <w:rFonts w:ascii="宋体" w:hAnsi="宋体" w:cs="宋体"/>
                <w:sz w:val="18"/>
                <w:szCs w:val="18"/>
              </w:rPr>
            </w:pPr>
            <w:r>
              <w:rPr>
                <w:rFonts w:hint="eastAsia" w:ascii="宋体" w:hAnsi="宋体" w:cs="宋体"/>
                <w:sz w:val="18"/>
                <w:szCs w:val="18"/>
              </w:rPr>
              <w:t>1 000倍液</w:t>
            </w:r>
          </w:p>
          <w:p w14:paraId="2A46F399">
            <w:pPr>
              <w:autoSpaceDE w:val="0"/>
              <w:autoSpaceDN w:val="0"/>
              <w:spacing w:line="240" w:lineRule="auto"/>
              <w:jc w:val="center"/>
              <w:rPr>
                <w:rFonts w:ascii="宋体" w:hAnsi="宋体" w:cs="宋体"/>
                <w:sz w:val="18"/>
                <w:szCs w:val="18"/>
              </w:rPr>
            </w:pPr>
            <w:r>
              <w:rPr>
                <w:rFonts w:hint="eastAsia" w:ascii="宋体" w:hAnsi="宋体" w:cs="宋体"/>
                <w:sz w:val="18"/>
                <w:szCs w:val="18"/>
              </w:rPr>
              <w:t>2 000～3 000倍液</w:t>
            </w:r>
          </w:p>
          <w:p w14:paraId="7EFC110A">
            <w:pPr>
              <w:autoSpaceDE w:val="0"/>
              <w:autoSpaceDN w:val="0"/>
              <w:spacing w:line="240" w:lineRule="auto"/>
              <w:jc w:val="center"/>
              <w:rPr>
                <w:rFonts w:ascii="宋体" w:hAnsi="宋体" w:cs="宋体"/>
                <w:sz w:val="18"/>
                <w:szCs w:val="18"/>
              </w:rPr>
            </w:pPr>
            <w:r>
              <w:rPr>
                <w:rFonts w:hint="eastAsia" w:ascii="宋体" w:hAnsi="宋体" w:cs="宋体"/>
                <w:sz w:val="18"/>
                <w:szCs w:val="18"/>
              </w:rPr>
              <w:t>1 500倍液。</w:t>
            </w:r>
          </w:p>
        </w:tc>
        <w:tc>
          <w:tcPr>
            <w:tcW w:w="453" w:type="pct"/>
            <w:noWrap/>
            <w:vAlign w:val="center"/>
          </w:tcPr>
          <w:p w14:paraId="2726B262">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129615EC">
            <w:pPr>
              <w:autoSpaceDE w:val="0"/>
              <w:autoSpaceDN w:val="0"/>
              <w:spacing w:line="240" w:lineRule="auto"/>
              <w:jc w:val="center"/>
              <w:rPr>
                <w:rFonts w:ascii="宋体" w:hAnsi="宋体" w:cs="宋体"/>
                <w:sz w:val="18"/>
                <w:szCs w:val="18"/>
              </w:rPr>
            </w:pPr>
            <w:r>
              <w:rPr>
                <w:rFonts w:hint="eastAsia" w:ascii="宋体" w:hAnsi="宋体" w:cs="宋体"/>
                <w:sz w:val="18"/>
                <w:szCs w:val="18"/>
              </w:rPr>
              <w:t>10 d</w:t>
            </w:r>
          </w:p>
          <w:p w14:paraId="22D3BAAE">
            <w:pPr>
              <w:autoSpaceDE w:val="0"/>
              <w:autoSpaceDN w:val="0"/>
              <w:spacing w:line="240" w:lineRule="auto"/>
              <w:jc w:val="center"/>
              <w:rPr>
                <w:rFonts w:ascii="宋体" w:hAnsi="宋体" w:cs="宋体"/>
                <w:sz w:val="18"/>
                <w:szCs w:val="18"/>
              </w:rPr>
            </w:pPr>
            <w:r>
              <w:rPr>
                <w:rFonts w:hint="eastAsia" w:ascii="宋体" w:hAnsi="宋体" w:cs="宋体"/>
                <w:sz w:val="18"/>
                <w:szCs w:val="18"/>
              </w:rPr>
              <w:t>42 d</w:t>
            </w:r>
          </w:p>
          <w:p w14:paraId="2FAD64AD">
            <w:pPr>
              <w:autoSpaceDE w:val="0"/>
              <w:autoSpaceDN w:val="0"/>
              <w:spacing w:line="240" w:lineRule="auto"/>
              <w:jc w:val="center"/>
              <w:rPr>
                <w:rFonts w:ascii="宋体" w:hAnsi="宋体" w:cs="宋体"/>
                <w:sz w:val="18"/>
                <w:szCs w:val="18"/>
              </w:rPr>
            </w:pPr>
            <w:r>
              <w:rPr>
                <w:rFonts w:hint="eastAsia" w:ascii="宋体" w:hAnsi="宋体" w:cs="宋体"/>
                <w:sz w:val="18"/>
                <w:szCs w:val="18"/>
              </w:rPr>
              <w:t>14 d</w:t>
            </w:r>
          </w:p>
        </w:tc>
        <w:tc>
          <w:tcPr>
            <w:tcW w:w="1045" w:type="pct"/>
            <w:noWrap/>
            <w:vAlign w:val="center"/>
          </w:tcPr>
          <w:p w14:paraId="29FC14EB">
            <w:pPr>
              <w:autoSpaceDE w:val="0"/>
              <w:autoSpaceDN w:val="0"/>
              <w:spacing w:line="240" w:lineRule="auto"/>
              <w:ind w:firstLine="360" w:firstLineChars="200"/>
              <w:jc w:val="center"/>
              <w:rPr>
                <w:rFonts w:ascii="宋体" w:hAnsi="宋体" w:cs="宋体"/>
                <w:sz w:val="18"/>
                <w:szCs w:val="18"/>
              </w:rPr>
            </w:pPr>
            <w:r>
              <w:rPr>
                <w:rFonts w:hint="eastAsia" w:ascii="宋体" w:hAnsi="宋体" w:cs="宋体"/>
                <w:sz w:val="18"/>
                <w:szCs w:val="18"/>
              </w:rPr>
              <w:t>发病初期叶面喷施，每隔</w:t>
            </w:r>
            <w:r>
              <w:rPr>
                <w:rFonts w:hint="eastAsia" w:ascii="宋体" w:hAnsi="宋体" w:cs="宋体"/>
                <w:sz w:val="18"/>
                <w:szCs w:val="18"/>
                <w:lang w:val="en-US" w:eastAsia="zh-CN"/>
              </w:rPr>
              <w:t xml:space="preserve"> </w:t>
            </w:r>
            <w:r>
              <w:rPr>
                <w:rFonts w:hint="eastAsia" w:ascii="宋体" w:hAnsi="宋体" w:cs="宋体"/>
                <w:sz w:val="18"/>
                <w:szCs w:val="18"/>
              </w:rPr>
              <w:t>7 d喷施1次，连续喷施2～3次，视病害发生情况适时补施。</w:t>
            </w:r>
          </w:p>
        </w:tc>
      </w:tr>
      <w:tr w14:paraId="5AA7A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75" w:hRule="atLeast"/>
        </w:trPr>
        <w:tc>
          <w:tcPr>
            <w:tcW w:w="435" w:type="pct"/>
            <w:noWrap/>
            <w:vAlign w:val="center"/>
          </w:tcPr>
          <w:p w14:paraId="1A9B977C">
            <w:pPr>
              <w:adjustRightInd/>
              <w:spacing w:line="240" w:lineRule="auto"/>
              <w:jc w:val="center"/>
              <w:rPr>
                <w:rFonts w:ascii="宋体" w:hAnsi="宋体" w:cs="宋体"/>
                <w:sz w:val="18"/>
                <w:szCs w:val="18"/>
              </w:rPr>
            </w:pPr>
            <w:r>
              <w:rPr>
                <w:rFonts w:hint="eastAsia" w:ascii="宋体" w:hAnsi="宋体" w:cs="宋体"/>
                <w:sz w:val="18"/>
                <w:szCs w:val="18"/>
              </w:rPr>
              <w:t>煤烟病</w:t>
            </w:r>
          </w:p>
        </w:tc>
        <w:tc>
          <w:tcPr>
            <w:tcW w:w="1291" w:type="pct"/>
            <w:noWrap/>
            <w:vAlign w:val="center"/>
          </w:tcPr>
          <w:p w14:paraId="5E0F216C">
            <w:pPr>
              <w:adjustRightInd/>
              <w:spacing w:line="240" w:lineRule="auto"/>
              <w:jc w:val="center"/>
              <w:rPr>
                <w:rFonts w:ascii="宋体" w:hAnsi="宋体" w:cs="宋体"/>
                <w:sz w:val="18"/>
                <w:szCs w:val="18"/>
              </w:rPr>
            </w:pPr>
            <w:r>
              <w:drawing>
                <wp:inline distT="0" distB="0" distL="114935" distR="114935">
                  <wp:extent cx="1440180" cy="1619885"/>
                  <wp:effectExtent l="0" t="0" r="7620" b="18415"/>
                  <wp:docPr id="9" name="图片 57349" descr="蚧壳虫危害果"/>
                  <wp:cNvGraphicFramePr/>
                  <a:graphic xmlns:a="http://schemas.openxmlformats.org/drawingml/2006/main">
                    <a:graphicData uri="http://schemas.openxmlformats.org/drawingml/2006/picture">
                      <pic:pic xmlns:pic="http://schemas.openxmlformats.org/drawingml/2006/picture">
                        <pic:nvPicPr>
                          <pic:cNvPr id="9" name="图片 57349" descr="蚧壳虫危害果"/>
                          <pic:cNvPicPr/>
                        </pic:nvPicPr>
                        <pic:blipFill>
                          <a:blip r:embed="rId25" cstate="print"/>
                          <a:srcRect l="13980" t="46532" r="37618" b="13793"/>
                          <a:stretch>
                            <a:fillRect/>
                          </a:stretch>
                        </pic:blipFill>
                        <pic:spPr>
                          <a:xfrm>
                            <a:off x="0" y="0"/>
                            <a:ext cx="1440180" cy="1619885"/>
                          </a:xfrm>
                          <a:prstGeom prst="rect">
                            <a:avLst/>
                          </a:prstGeom>
                          <a:ln w="9525">
                            <a:noFill/>
                          </a:ln>
                        </pic:spPr>
                      </pic:pic>
                    </a:graphicData>
                  </a:graphic>
                </wp:inline>
              </w:drawing>
            </w:r>
          </w:p>
        </w:tc>
        <w:tc>
          <w:tcPr>
            <w:tcW w:w="1064" w:type="pct"/>
            <w:noWrap/>
            <w:vAlign w:val="center"/>
          </w:tcPr>
          <w:p w14:paraId="058220FA">
            <w:pPr>
              <w:autoSpaceDE w:val="0"/>
              <w:autoSpaceDN w:val="0"/>
              <w:spacing w:line="240" w:lineRule="auto"/>
              <w:jc w:val="center"/>
              <w:rPr>
                <w:rFonts w:ascii="宋体" w:hAnsi="宋体" w:cs="宋体"/>
                <w:sz w:val="18"/>
                <w:szCs w:val="18"/>
              </w:rPr>
            </w:pPr>
            <w:r>
              <w:rPr>
                <w:rFonts w:hint="eastAsia" w:ascii="宋体" w:hAnsi="宋体" w:cs="宋体"/>
                <w:sz w:val="18"/>
                <w:szCs w:val="18"/>
              </w:rPr>
              <w:t>27.12%碱式硫酸铜悬浮剂</w:t>
            </w:r>
          </w:p>
          <w:p w14:paraId="6C37CA25">
            <w:pPr>
              <w:autoSpaceDE w:val="0"/>
              <w:autoSpaceDN w:val="0"/>
              <w:spacing w:line="240" w:lineRule="auto"/>
              <w:jc w:val="center"/>
              <w:rPr>
                <w:rFonts w:ascii="宋体" w:hAnsi="宋体" w:cs="宋体"/>
                <w:sz w:val="18"/>
                <w:szCs w:val="18"/>
              </w:rPr>
            </w:pPr>
            <w:r>
              <w:rPr>
                <w:rFonts w:hint="eastAsia" w:ascii="宋体" w:hAnsi="宋体" w:cs="宋体"/>
                <w:sz w:val="18"/>
                <w:szCs w:val="18"/>
              </w:rPr>
              <w:t>10%吡丙醚乳油</w:t>
            </w:r>
          </w:p>
          <w:p w14:paraId="3352D78A">
            <w:pPr>
              <w:autoSpaceDE w:val="0"/>
              <w:autoSpaceDN w:val="0"/>
              <w:spacing w:line="240" w:lineRule="auto"/>
              <w:jc w:val="center"/>
              <w:rPr>
                <w:rFonts w:ascii="宋体" w:hAnsi="宋体" w:cs="宋体"/>
                <w:sz w:val="18"/>
                <w:szCs w:val="18"/>
              </w:rPr>
            </w:pPr>
            <w:r>
              <w:rPr>
                <w:rFonts w:hint="eastAsia" w:ascii="宋体" w:hAnsi="宋体" w:cs="宋体"/>
                <w:sz w:val="18"/>
                <w:szCs w:val="18"/>
              </w:rPr>
              <w:t>47%春雷·王铜可湿性粉剂</w:t>
            </w:r>
          </w:p>
          <w:p w14:paraId="0C23AAC5">
            <w:pPr>
              <w:autoSpaceDE w:val="0"/>
              <w:autoSpaceDN w:val="0"/>
              <w:spacing w:line="240" w:lineRule="auto"/>
              <w:jc w:val="center"/>
              <w:rPr>
                <w:rFonts w:ascii="宋体" w:hAnsi="宋体" w:cs="宋体"/>
                <w:sz w:val="18"/>
                <w:szCs w:val="18"/>
              </w:rPr>
            </w:pPr>
            <w:r>
              <w:rPr>
                <w:rFonts w:hint="eastAsia" w:ascii="宋体" w:hAnsi="宋体" w:cs="宋体"/>
                <w:sz w:val="18"/>
                <w:szCs w:val="18"/>
              </w:rPr>
              <w:t>22%氟啶虫胺腈悬浮剂</w:t>
            </w:r>
          </w:p>
        </w:tc>
        <w:tc>
          <w:tcPr>
            <w:tcW w:w="709" w:type="pct"/>
            <w:noWrap/>
            <w:vAlign w:val="center"/>
          </w:tcPr>
          <w:p w14:paraId="4F5AEEAE">
            <w:pPr>
              <w:autoSpaceDE w:val="0"/>
              <w:autoSpaceDN w:val="0"/>
              <w:spacing w:line="240" w:lineRule="auto"/>
              <w:jc w:val="center"/>
              <w:rPr>
                <w:rFonts w:ascii="宋体" w:hAnsi="宋体" w:cs="宋体"/>
                <w:sz w:val="18"/>
                <w:szCs w:val="18"/>
              </w:rPr>
            </w:pPr>
            <w:r>
              <w:rPr>
                <w:rFonts w:hint="eastAsia" w:ascii="宋体" w:hAnsi="宋体" w:cs="宋体"/>
                <w:sz w:val="18"/>
                <w:szCs w:val="18"/>
              </w:rPr>
              <w:t>600～800倍液</w:t>
            </w:r>
          </w:p>
          <w:p w14:paraId="6E835C01">
            <w:pPr>
              <w:autoSpaceDE w:val="0"/>
              <w:autoSpaceDN w:val="0"/>
              <w:spacing w:line="240" w:lineRule="auto"/>
              <w:jc w:val="center"/>
              <w:rPr>
                <w:rFonts w:ascii="宋体" w:hAnsi="宋体" w:cs="宋体"/>
                <w:sz w:val="18"/>
                <w:szCs w:val="18"/>
              </w:rPr>
            </w:pPr>
            <w:r>
              <w:rPr>
                <w:rFonts w:hint="eastAsia" w:ascii="宋体" w:hAnsi="宋体" w:cs="宋体"/>
                <w:sz w:val="18"/>
                <w:szCs w:val="18"/>
              </w:rPr>
              <w:t>500倍液</w:t>
            </w:r>
          </w:p>
          <w:p w14:paraId="406D878D">
            <w:pPr>
              <w:autoSpaceDE w:val="0"/>
              <w:autoSpaceDN w:val="0"/>
              <w:spacing w:line="240" w:lineRule="auto"/>
              <w:jc w:val="center"/>
              <w:rPr>
                <w:rFonts w:ascii="宋体" w:hAnsi="宋体" w:cs="宋体"/>
                <w:sz w:val="18"/>
                <w:szCs w:val="18"/>
              </w:rPr>
            </w:pPr>
            <w:r>
              <w:rPr>
                <w:rFonts w:hint="eastAsia" w:ascii="宋体" w:hAnsi="宋体" w:cs="宋体"/>
                <w:sz w:val="18"/>
                <w:szCs w:val="18"/>
              </w:rPr>
              <w:t>600倍</w:t>
            </w:r>
          </w:p>
          <w:p w14:paraId="44F6095C">
            <w:pPr>
              <w:autoSpaceDE w:val="0"/>
              <w:autoSpaceDN w:val="0"/>
              <w:spacing w:line="240" w:lineRule="auto"/>
              <w:jc w:val="center"/>
              <w:rPr>
                <w:rFonts w:ascii="宋体" w:hAnsi="宋体" w:cs="宋体"/>
                <w:sz w:val="18"/>
                <w:szCs w:val="18"/>
              </w:rPr>
            </w:pPr>
            <w:r>
              <w:rPr>
                <w:rFonts w:hint="eastAsia" w:ascii="宋体" w:hAnsi="宋体" w:cs="宋体"/>
                <w:sz w:val="18"/>
                <w:szCs w:val="18"/>
              </w:rPr>
              <w:t>1 500倍</w:t>
            </w:r>
          </w:p>
        </w:tc>
        <w:tc>
          <w:tcPr>
            <w:tcW w:w="453" w:type="pct"/>
            <w:noWrap/>
            <w:vAlign w:val="center"/>
          </w:tcPr>
          <w:p w14:paraId="2DD1DFCC">
            <w:pPr>
              <w:autoSpaceDE w:val="0"/>
              <w:autoSpaceDN w:val="0"/>
              <w:spacing w:line="240" w:lineRule="auto"/>
              <w:jc w:val="center"/>
              <w:rPr>
                <w:rFonts w:ascii="宋体" w:hAnsi="宋体" w:cs="宋体"/>
                <w:sz w:val="18"/>
                <w:szCs w:val="18"/>
              </w:rPr>
            </w:pPr>
            <w:r>
              <w:rPr>
                <w:rFonts w:hint="eastAsia" w:ascii="宋体" w:hAnsi="宋体" w:cs="宋体"/>
                <w:sz w:val="18"/>
                <w:szCs w:val="18"/>
              </w:rPr>
              <w:t>20 d</w:t>
            </w:r>
          </w:p>
          <w:p w14:paraId="678352A0">
            <w:pPr>
              <w:autoSpaceDE w:val="0"/>
              <w:autoSpaceDN w:val="0"/>
              <w:spacing w:line="240" w:lineRule="auto"/>
              <w:jc w:val="center"/>
              <w:rPr>
                <w:rFonts w:ascii="宋体" w:hAnsi="宋体" w:cs="宋体"/>
                <w:sz w:val="18"/>
                <w:szCs w:val="18"/>
              </w:rPr>
            </w:pPr>
            <w:r>
              <w:rPr>
                <w:rFonts w:hint="eastAsia" w:ascii="宋体" w:hAnsi="宋体" w:cs="宋体"/>
                <w:sz w:val="18"/>
                <w:szCs w:val="18"/>
              </w:rPr>
              <w:t>5 d</w:t>
            </w:r>
          </w:p>
          <w:p w14:paraId="3405A2D6">
            <w:pPr>
              <w:autoSpaceDE w:val="0"/>
              <w:autoSpaceDN w:val="0"/>
              <w:spacing w:line="240" w:lineRule="auto"/>
              <w:jc w:val="center"/>
              <w:rPr>
                <w:rFonts w:ascii="宋体" w:hAnsi="宋体" w:cs="宋体"/>
                <w:sz w:val="18"/>
                <w:szCs w:val="18"/>
              </w:rPr>
            </w:pPr>
            <w:r>
              <w:rPr>
                <w:rFonts w:hint="eastAsia" w:ascii="宋体" w:hAnsi="宋体" w:cs="宋体"/>
                <w:sz w:val="18"/>
                <w:szCs w:val="18"/>
              </w:rPr>
              <w:t>21 d</w:t>
            </w:r>
          </w:p>
          <w:p w14:paraId="5744B5FF">
            <w:pPr>
              <w:autoSpaceDE w:val="0"/>
              <w:autoSpaceDN w:val="0"/>
              <w:spacing w:line="240" w:lineRule="auto"/>
              <w:jc w:val="center"/>
              <w:rPr>
                <w:rFonts w:ascii="宋体" w:hAnsi="宋体" w:cs="宋体"/>
                <w:sz w:val="18"/>
                <w:szCs w:val="18"/>
              </w:rPr>
            </w:pPr>
            <w:r>
              <w:rPr>
                <w:rFonts w:hint="eastAsia" w:ascii="宋体" w:hAnsi="宋体" w:cs="宋体"/>
                <w:sz w:val="18"/>
                <w:szCs w:val="18"/>
              </w:rPr>
              <w:t>14 d</w:t>
            </w:r>
          </w:p>
        </w:tc>
        <w:tc>
          <w:tcPr>
            <w:tcW w:w="1045" w:type="pct"/>
            <w:noWrap/>
            <w:vAlign w:val="center"/>
          </w:tcPr>
          <w:p w14:paraId="0206D1B4">
            <w:pPr>
              <w:autoSpaceDE w:val="0"/>
              <w:autoSpaceDN w:val="0"/>
              <w:spacing w:line="240" w:lineRule="auto"/>
              <w:ind w:firstLine="360" w:firstLineChars="200"/>
              <w:rPr>
                <w:rFonts w:ascii="宋体" w:hAnsi="宋体" w:cs="宋体"/>
                <w:sz w:val="18"/>
                <w:szCs w:val="18"/>
              </w:rPr>
            </w:pPr>
            <w:r>
              <w:rPr>
                <w:rFonts w:hint="eastAsia" w:ascii="宋体" w:hAnsi="宋体" w:cs="宋体"/>
                <w:sz w:val="18"/>
                <w:szCs w:val="18"/>
              </w:rPr>
              <w:t>每隔</w:t>
            </w:r>
            <w:r>
              <w:rPr>
                <w:rFonts w:hint="eastAsia" w:ascii="宋体" w:hAnsi="宋体" w:cs="宋体"/>
                <w:sz w:val="18"/>
                <w:szCs w:val="18"/>
                <w:lang w:val="en-US" w:eastAsia="zh-CN"/>
              </w:rPr>
              <w:t xml:space="preserve"> </w:t>
            </w:r>
            <w:r>
              <w:rPr>
                <w:rFonts w:hint="eastAsia" w:ascii="宋体" w:hAnsi="宋体" w:cs="宋体"/>
                <w:sz w:val="18"/>
                <w:szCs w:val="18"/>
              </w:rPr>
              <w:t>7 d喷施1次，连续喷施</w:t>
            </w:r>
            <w:r>
              <w:rPr>
                <w:rFonts w:hint="eastAsia" w:ascii="宋体" w:hAnsi="宋体" w:cs="宋体"/>
                <w:sz w:val="18"/>
                <w:szCs w:val="18"/>
                <w:lang w:val="en-US" w:eastAsia="zh-CN"/>
              </w:rPr>
              <w:t xml:space="preserve"> </w:t>
            </w:r>
            <w:r>
              <w:rPr>
                <w:rFonts w:hint="eastAsia" w:ascii="宋体" w:hAnsi="宋体" w:cs="宋体"/>
                <w:sz w:val="18"/>
                <w:szCs w:val="18"/>
              </w:rPr>
              <w:t>2～3次，减少煤病侵染源及蚧类蚜虫等越冬害虫。</w:t>
            </w:r>
          </w:p>
        </w:tc>
      </w:tr>
      <w:tr w14:paraId="6185E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61" w:hRule="atLeast"/>
        </w:trPr>
        <w:tc>
          <w:tcPr>
            <w:tcW w:w="435" w:type="pct"/>
            <w:shd w:val="clear" w:color="auto" w:fill="auto"/>
            <w:noWrap/>
            <w:vAlign w:val="center"/>
          </w:tcPr>
          <w:p w14:paraId="6CAF5556">
            <w:pPr>
              <w:adjustRightInd/>
              <w:spacing w:line="240" w:lineRule="auto"/>
              <w:jc w:val="center"/>
              <w:rPr>
                <w:rFonts w:ascii="宋体" w:hAnsi="宋体" w:cs="宋体"/>
                <w:sz w:val="18"/>
                <w:szCs w:val="18"/>
              </w:rPr>
            </w:pPr>
            <w:r>
              <w:rPr>
                <w:rFonts w:hint="eastAsia" w:ascii="宋体" w:hAnsi="宋体" w:cs="宋体"/>
                <w:sz w:val="18"/>
                <w:szCs w:val="18"/>
              </w:rPr>
              <w:t>花果</w:t>
            </w:r>
          </w:p>
          <w:p w14:paraId="1D69AA99">
            <w:pPr>
              <w:adjustRightInd/>
              <w:spacing w:line="240" w:lineRule="auto"/>
              <w:jc w:val="center"/>
              <w:rPr>
                <w:rFonts w:ascii="宋体" w:hAnsi="宋体" w:cs="宋体"/>
                <w:sz w:val="18"/>
                <w:szCs w:val="18"/>
              </w:rPr>
            </w:pPr>
            <w:r>
              <w:rPr>
                <w:rFonts w:hint="eastAsia" w:ascii="宋体" w:hAnsi="宋体" w:cs="宋体"/>
                <w:sz w:val="18"/>
                <w:szCs w:val="18"/>
              </w:rPr>
              <w:t>软腐病</w:t>
            </w:r>
          </w:p>
        </w:tc>
        <w:tc>
          <w:tcPr>
            <w:tcW w:w="1291" w:type="pct"/>
            <w:shd w:val="clear" w:color="auto" w:fill="auto"/>
            <w:noWrap/>
            <w:vAlign w:val="center"/>
          </w:tcPr>
          <w:p w14:paraId="79C267DA">
            <w:pPr>
              <w:adjustRightInd/>
              <w:spacing w:line="240" w:lineRule="auto"/>
              <w:jc w:val="center"/>
              <w:rPr>
                <w:rFonts w:ascii="宋体" w:hAnsi="宋体" w:cs="宋体"/>
                <w:sz w:val="18"/>
                <w:szCs w:val="18"/>
              </w:rPr>
            </w:pPr>
            <w:r>
              <w:drawing>
                <wp:inline distT="0" distB="0" distL="114300" distR="114300">
                  <wp:extent cx="1440180" cy="1619885"/>
                  <wp:effectExtent l="0" t="0" r="7620" b="18415"/>
                  <wp:docPr id="65544" name="图片 31751" descr="DSC01425"/>
                  <wp:cNvGraphicFramePr/>
                  <a:graphic xmlns:a="http://schemas.openxmlformats.org/drawingml/2006/main">
                    <a:graphicData uri="http://schemas.openxmlformats.org/drawingml/2006/picture">
                      <pic:pic xmlns:pic="http://schemas.openxmlformats.org/drawingml/2006/picture">
                        <pic:nvPicPr>
                          <pic:cNvPr id="65544" name="图片 31751" descr="DSC01425"/>
                          <pic:cNvPicPr/>
                        </pic:nvPicPr>
                        <pic:blipFill>
                          <a:blip r:embed="rId26" cstate="print">
                            <a:lum bright="6000"/>
                          </a:blip>
                          <a:srcRect r="19403" b="2696"/>
                          <a:stretch>
                            <a:fillRect/>
                          </a:stretch>
                        </pic:blipFill>
                        <pic:spPr>
                          <a:xfrm>
                            <a:off x="0" y="0"/>
                            <a:ext cx="1440180" cy="1619885"/>
                          </a:xfrm>
                          <a:prstGeom prst="rect">
                            <a:avLst/>
                          </a:prstGeom>
                          <a:ln w="9525">
                            <a:noFill/>
                          </a:ln>
                        </pic:spPr>
                      </pic:pic>
                    </a:graphicData>
                  </a:graphic>
                </wp:inline>
              </w:drawing>
            </w:r>
          </w:p>
        </w:tc>
        <w:tc>
          <w:tcPr>
            <w:tcW w:w="1064" w:type="pct"/>
            <w:shd w:val="clear" w:color="auto" w:fill="auto"/>
            <w:noWrap/>
            <w:vAlign w:val="center"/>
          </w:tcPr>
          <w:p w14:paraId="3216FFD8">
            <w:pPr>
              <w:adjustRightInd/>
              <w:spacing w:line="240" w:lineRule="auto"/>
              <w:jc w:val="center"/>
              <w:rPr>
                <w:rFonts w:ascii="宋体" w:hAnsi="宋体" w:cs="宋体"/>
                <w:sz w:val="18"/>
                <w:szCs w:val="18"/>
              </w:rPr>
            </w:pPr>
            <w:r>
              <w:rPr>
                <w:rFonts w:hint="eastAsia" w:ascii="宋体" w:hAnsi="宋体" w:cs="宋体"/>
                <w:sz w:val="18"/>
                <w:szCs w:val="18"/>
              </w:rPr>
              <w:t>10%多抗霉素可湿性粉剂</w:t>
            </w:r>
          </w:p>
          <w:p w14:paraId="3761DFCE">
            <w:pPr>
              <w:adjustRightInd/>
              <w:spacing w:line="240" w:lineRule="auto"/>
              <w:jc w:val="center"/>
              <w:rPr>
                <w:rFonts w:ascii="宋体" w:hAnsi="宋体" w:cs="宋体"/>
                <w:sz w:val="18"/>
                <w:szCs w:val="18"/>
              </w:rPr>
            </w:pPr>
            <w:r>
              <w:rPr>
                <w:rFonts w:hint="eastAsia" w:ascii="宋体" w:hAnsi="宋体" w:cs="宋体"/>
                <w:sz w:val="18"/>
                <w:szCs w:val="18"/>
              </w:rPr>
              <w:t>25%苯醚甲环唑乳油剂</w:t>
            </w:r>
          </w:p>
          <w:p w14:paraId="40D3AF9D">
            <w:pPr>
              <w:adjustRightInd/>
              <w:spacing w:line="240" w:lineRule="auto"/>
              <w:jc w:val="center"/>
              <w:rPr>
                <w:rFonts w:ascii="宋体" w:hAnsi="宋体" w:cs="宋体"/>
                <w:sz w:val="18"/>
                <w:szCs w:val="18"/>
              </w:rPr>
            </w:pPr>
            <w:r>
              <w:rPr>
                <w:rFonts w:hint="eastAsia" w:ascii="宋体" w:hAnsi="宋体" w:cs="宋体"/>
                <w:sz w:val="18"/>
                <w:szCs w:val="18"/>
              </w:rPr>
              <w:t>50%戊唑醇水分散粒剂</w:t>
            </w:r>
          </w:p>
          <w:p w14:paraId="1404E258">
            <w:pPr>
              <w:adjustRightInd/>
              <w:spacing w:line="240" w:lineRule="auto"/>
              <w:jc w:val="center"/>
              <w:rPr>
                <w:rFonts w:ascii="宋体" w:hAnsi="宋体" w:cs="宋体"/>
                <w:sz w:val="18"/>
                <w:szCs w:val="18"/>
              </w:rPr>
            </w:pPr>
            <w:r>
              <w:rPr>
                <w:rFonts w:hint="eastAsia" w:ascii="宋体" w:hAnsi="宋体" w:cs="宋体"/>
                <w:sz w:val="18"/>
                <w:szCs w:val="18"/>
              </w:rPr>
              <w:t>25%多菌灵可湿性粉剂</w:t>
            </w:r>
          </w:p>
        </w:tc>
        <w:tc>
          <w:tcPr>
            <w:tcW w:w="709" w:type="pct"/>
            <w:shd w:val="clear" w:color="auto" w:fill="auto"/>
            <w:noWrap/>
            <w:vAlign w:val="center"/>
          </w:tcPr>
          <w:p w14:paraId="1A6C0850">
            <w:pPr>
              <w:pStyle w:val="58"/>
              <w:ind w:firstLine="0" w:firstLineChars="0"/>
              <w:jc w:val="center"/>
              <w:rPr>
                <w:rFonts w:hAnsi="宋体" w:cs="宋体"/>
                <w:kern w:val="2"/>
                <w:sz w:val="18"/>
                <w:szCs w:val="18"/>
              </w:rPr>
            </w:pPr>
            <w:r>
              <w:rPr>
                <w:rFonts w:hint="eastAsia" w:hAnsi="宋体" w:cs="宋体"/>
                <w:kern w:val="2"/>
                <w:sz w:val="18"/>
                <w:szCs w:val="18"/>
              </w:rPr>
              <w:t>3 000倍</w:t>
            </w:r>
          </w:p>
          <w:p w14:paraId="3D879D56">
            <w:pPr>
              <w:pStyle w:val="58"/>
              <w:ind w:firstLine="0" w:firstLineChars="0"/>
              <w:jc w:val="center"/>
              <w:rPr>
                <w:rFonts w:hAnsi="宋体" w:cs="宋体"/>
                <w:kern w:val="2"/>
                <w:sz w:val="18"/>
                <w:szCs w:val="18"/>
              </w:rPr>
            </w:pPr>
            <w:r>
              <w:rPr>
                <w:rFonts w:hint="eastAsia" w:hAnsi="宋体" w:cs="宋体"/>
                <w:kern w:val="2"/>
                <w:sz w:val="18"/>
                <w:szCs w:val="18"/>
              </w:rPr>
              <w:t>3000倍</w:t>
            </w:r>
          </w:p>
          <w:p w14:paraId="16ABAF88">
            <w:pPr>
              <w:pStyle w:val="58"/>
              <w:ind w:firstLine="0" w:firstLineChars="0"/>
              <w:jc w:val="center"/>
              <w:rPr>
                <w:rFonts w:hAnsi="宋体" w:cs="宋体"/>
                <w:kern w:val="2"/>
                <w:sz w:val="18"/>
                <w:szCs w:val="18"/>
              </w:rPr>
            </w:pPr>
            <w:r>
              <w:rPr>
                <w:rFonts w:hint="eastAsia" w:hAnsi="宋体" w:cs="宋体"/>
                <w:kern w:val="2"/>
                <w:sz w:val="18"/>
                <w:szCs w:val="18"/>
              </w:rPr>
              <w:t>5 000～8 000倍液</w:t>
            </w:r>
          </w:p>
          <w:p w14:paraId="5379AC3A">
            <w:pPr>
              <w:pStyle w:val="58"/>
              <w:ind w:firstLine="0" w:firstLineChars="0"/>
              <w:jc w:val="center"/>
              <w:rPr>
                <w:rFonts w:hAnsi="宋体" w:cs="宋体"/>
                <w:kern w:val="2"/>
                <w:sz w:val="18"/>
                <w:szCs w:val="18"/>
              </w:rPr>
            </w:pPr>
            <w:r>
              <w:rPr>
                <w:rFonts w:hint="eastAsia" w:hAnsi="宋体" w:cs="宋体"/>
                <w:kern w:val="2"/>
                <w:sz w:val="18"/>
                <w:szCs w:val="18"/>
              </w:rPr>
              <w:t>4 000～5 000倍液</w:t>
            </w:r>
          </w:p>
        </w:tc>
        <w:tc>
          <w:tcPr>
            <w:tcW w:w="453" w:type="pct"/>
            <w:shd w:val="clear" w:color="auto" w:fill="auto"/>
            <w:noWrap/>
            <w:vAlign w:val="center"/>
          </w:tcPr>
          <w:p w14:paraId="7DD11345">
            <w:pPr>
              <w:pStyle w:val="58"/>
              <w:ind w:firstLine="0" w:firstLineChars="0"/>
              <w:jc w:val="center"/>
              <w:rPr>
                <w:rFonts w:hAnsi="宋体" w:cs="宋体"/>
                <w:kern w:val="2"/>
                <w:sz w:val="18"/>
                <w:szCs w:val="18"/>
              </w:rPr>
            </w:pPr>
            <w:r>
              <w:rPr>
                <w:rFonts w:hint="eastAsia" w:hAnsi="宋体" w:cs="宋体"/>
                <w:kern w:val="2"/>
                <w:sz w:val="18"/>
                <w:szCs w:val="18"/>
              </w:rPr>
              <w:t>14 d</w:t>
            </w:r>
          </w:p>
          <w:p w14:paraId="58DD34FA">
            <w:pPr>
              <w:pStyle w:val="58"/>
              <w:ind w:firstLine="0" w:firstLineChars="0"/>
              <w:jc w:val="center"/>
              <w:rPr>
                <w:rFonts w:hAnsi="宋体" w:cs="宋体"/>
                <w:kern w:val="2"/>
                <w:sz w:val="18"/>
                <w:szCs w:val="18"/>
              </w:rPr>
            </w:pPr>
            <w:r>
              <w:rPr>
                <w:rFonts w:hint="eastAsia" w:hAnsi="宋体" w:cs="宋体"/>
                <w:kern w:val="2"/>
                <w:sz w:val="18"/>
                <w:szCs w:val="18"/>
              </w:rPr>
              <w:t>42 d</w:t>
            </w:r>
          </w:p>
          <w:p w14:paraId="39463EDA">
            <w:pPr>
              <w:pStyle w:val="58"/>
              <w:ind w:firstLine="0" w:firstLineChars="0"/>
              <w:jc w:val="center"/>
              <w:rPr>
                <w:rFonts w:hAnsi="宋体" w:cs="宋体"/>
                <w:kern w:val="2"/>
                <w:sz w:val="18"/>
                <w:szCs w:val="18"/>
              </w:rPr>
            </w:pPr>
            <w:r>
              <w:rPr>
                <w:rFonts w:hint="eastAsia" w:hAnsi="宋体" w:cs="宋体"/>
                <w:kern w:val="2"/>
                <w:sz w:val="18"/>
                <w:szCs w:val="18"/>
              </w:rPr>
              <w:t>21 d</w:t>
            </w:r>
          </w:p>
          <w:p w14:paraId="56E5F77A">
            <w:pPr>
              <w:pStyle w:val="58"/>
              <w:ind w:firstLine="0" w:firstLineChars="0"/>
              <w:jc w:val="center"/>
              <w:rPr>
                <w:rFonts w:hAnsi="宋体" w:cs="宋体"/>
                <w:kern w:val="2"/>
                <w:sz w:val="18"/>
                <w:szCs w:val="18"/>
              </w:rPr>
            </w:pPr>
            <w:r>
              <w:rPr>
                <w:rFonts w:hint="eastAsia" w:hAnsi="宋体" w:cs="宋体"/>
                <w:kern w:val="2"/>
                <w:sz w:val="18"/>
                <w:szCs w:val="18"/>
              </w:rPr>
              <w:t>30 d</w:t>
            </w:r>
          </w:p>
        </w:tc>
        <w:tc>
          <w:tcPr>
            <w:tcW w:w="1045" w:type="pct"/>
            <w:shd w:val="clear" w:color="auto" w:fill="auto"/>
            <w:noWrap/>
            <w:vAlign w:val="center"/>
          </w:tcPr>
          <w:p w14:paraId="4F53EBB2">
            <w:pPr>
              <w:pStyle w:val="58"/>
              <w:ind w:firstLine="360"/>
              <w:jc w:val="center"/>
              <w:rPr>
                <w:rFonts w:hAnsi="宋体" w:cs="宋体"/>
                <w:kern w:val="2"/>
                <w:sz w:val="18"/>
                <w:szCs w:val="18"/>
              </w:rPr>
            </w:pPr>
            <w:r>
              <w:rPr>
                <w:rFonts w:hint="eastAsia" w:hAnsi="宋体" w:cs="宋体"/>
                <w:kern w:val="2"/>
                <w:sz w:val="18"/>
                <w:szCs w:val="18"/>
              </w:rPr>
              <w:t>开花期、幼果期喷药护花护果，每隔</w:t>
            </w:r>
            <w:r>
              <w:rPr>
                <w:rFonts w:hint="eastAsia" w:hAnsi="宋体" w:cs="宋体"/>
                <w:kern w:val="2"/>
                <w:sz w:val="18"/>
                <w:szCs w:val="18"/>
                <w:lang w:val="en-US" w:eastAsia="zh-CN"/>
              </w:rPr>
              <w:t xml:space="preserve"> </w:t>
            </w:r>
            <w:r>
              <w:rPr>
                <w:rFonts w:hint="eastAsia" w:hAnsi="宋体" w:cs="宋体"/>
                <w:kern w:val="2"/>
                <w:sz w:val="18"/>
                <w:szCs w:val="18"/>
              </w:rPr>
              <w:t>5 d～7 d喷施1次，连续喷施2～3次。</w:t>
            </w:r>
          </w:p>
        </w:tc>
      </w:tr>
      <w:tr w14:paraId="3A0579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75" w:hRule="atLeast"/>
        </w:trPr>
        <w:tc>
          <w:tcPr>
            <w:tcW w:w="435" w:type="pct"/>
            <w:noWrap/>
            <w:vAlign w:val="center"/>
          </w:tcPr>
          <w:p w14:paraId="68E7B5DA">
            <w:pPr>
              <w:adjustRightInd/>
              <w:spacing w:line="240" w:lineRule="auto"/>
              <w:jc w:val="center"/>
              <w:rPr>
                <w:rFonts w:ascii="宋体" w:hAnsi="宋体" w:cs="宋体"/>
                <w:sz w:val="18"/>
                <w:szCs w:val="18"/>
              </w:rPr>
            </w:pPr>
            <w:r>
              <w:rPr>
                <w:rFonts w:hint="eastAsia" w:ascii="宋体" w:hAnsi="宋体" w:cs="宋体"/>
                <w:sz w:val="18"/>
                <w:szCs w:val="18"/>
              </w:rPr>
              <w:t>根病</w:t>
            </w:r>
          </w:p>
        </w:tc>
        <w:tc>
          <w:tcPr>
            <w:tcW w:w="1291" w:type="pct"/>
            <w:noWrap/>
            <w:vAlign w:val="center"/>
          </w:tcPr>
          <w:p w14:paraId="1C385CBD">
            <w:pPr>
              <w:adjustRightInd/>
              <w:spacing w:line="240" w:lineRule="auto"/>
              <w:jc w:val="center"/>
              <w:rPr>
                <w:rFonts w:ascii="宋体" w:hAnsi="宋体" w:cs="宋体"/>
                <w:sz w:val="18"/>
                <w:szCs w:val="18"/>
              </w:rPr>
            </w:pPr>
            <w:r>
              <w:drawing>
                <wp:inline distT="0" distB="0" distL="114300" distR="114300">
                  <wp:extent cx="1440180" cy="1619885"/>
                  <wp:effectExtent l="0" t="0" r="7620" b="18415"/>
                  <wp:docPr id="6" name="图片 4"/>
                  <wp:cNvGraphicFramePr/>
                  <a:graphic xmlns:a="http://schemas.openxmlformats.org/drawingml/2006/main">
                    <a:graphicData uri="http://schemas.openxmlformats.org/drawingml/2006/picture">
                      <pic:pic xmlns:pic="http://schemas.openxmlformats.org/drawingml/2006/picture">
                        <pic:nvPicPr>
                          <pic:cNvPr id="6" name="图片 4"/>
                          <pic:cNvPicPr/>
                        </pic:nvPicPr>
                        <pic:blipFill>
                          <a:blip r:embed="rId27"/>
                          <a:stretch>
                            <a:fillRect/>
                          </a:stretch>
                        </pic:blipFill>
                        <pic:spPr>
                          <a:xfrm>
                            <a:off x="0" y="0"/>
                            <a:ext cx="1440180" cy="1619885"/>
                          </a:xfrm>
                          <a:prstGeom prst="rect">
                            <a:avLst/>
                          </a:prstGeom>
                        </pic:spPr>
                      </pic:pic>
                    </a:graphicData>
                  </a:graphic>
                </wp:inline>
              </w:drawing>
            </w:r>
          </w:p>
        </w:tc>
        <w:tc>
          <w:tcPr>
            <w:tcW w:w="1064" w:type="pct"/>
            <w:noWrap/>
            <w:vAlign w:val="center"/>
          </w:tcPr>
          <w:p w14:paraId="394A91C2">
            <w:pPr>
              <w:autoSpaceDE w:val="0"/>
              <w:autoSpaceDN w:val="0"/>
              <w:spacing w:line="240" w:lineRule="auto"/>
              <w:jc w:val="center"/>
              <w:rPr>
                <w:rFonts w:ascii="宋体" w:hAnsi="宋体" w:cs="宋体"/>
                <w:sz w:val="18"/>
                <w:szCs w:val="18"/>
              </w:rPr>
            </w:pPr>
            <w:r>
              <w:rPr>
                <w:rFonts w:hint="eastAsia" w:ascii="宋体" w:hAnsi="宋体" w:cs="宋体"/>
                <w:sz w:val="18"/>
                <w:szCs w:val="18"/>
              </w:rPr>
              <w:t>86%十三吗啉油剂</w:t>
            </w:r>
          </w:p>
          <w:p w14:paraId="7CC683CF">
            <w:pPr>
              <w:autoSpaceDE w:val="0"/>
              <w:autoSpaceDN w:val="0"/>
              <w:spacing w:line="240" w:lineRule="auto"/>
              <w:jc w:val="center"/>
              <w:rPr>
                <w:rFonts w:ascii="宋体" w:hAnsi="宋体" w:cs="宋体"/>
                <w:sz w:val="18"/>
                <w:szCs w:val="18"/>
              </w:rPr>
            </w:pPr>
            <w:r>
              <w:rPr>
                <w:rFonts w:hint="eastAsia" w:ascii="宋体" w:hAnsi="宋体" w:cs="宋体"/>
                <w:sz w:val="18"/>
                <w:szCs w:val="18"/>
              </w:rPr>
              <w:t>5% 2，4，5-涕丁正丁酯</w:t>
            </w:r>
          </w:p>
          <w:p w14:paraId="66BB8F36">
            <w:pPr>
              <w:autoSpaceDE w:val="0"/>
              <w:autoSpaceDN w:val="0"/>
              <w:spacing w:line="240" w:lineRule="auto"/>
              <w:jc w:val="center"/>
              <w:rPr>
                <w:rFonts w:ascii="宋体" w:hAnsi="宋体" w:cs="宋体"/>
                <w:sz w:val="18"/>
                <w:szCs w:val="18"/>
              </w:rPr>
            </w:pPr>
            <w:r>
              <w:rPr>
                <w:rFonts w:hint="eastAsia" w:ascii="宋体" w:hAnsi="宋体" w:cs="宋体"/>
                <w:sz w:val="18"/>
                <w:szCs w:val="18"/>
              </w:rPr>
              <w:t>20% 2，4-D丁酯</w:t>
            </w:r>
          </w:p>
        </w:tc>
        <w:tc>
          <w:tcPr>
            <w:tcW w:w="709" w:type="pct"/>
            <w:noWrap/>
            <w:vAlign w:val="center"/>
          </w:tcPr>
          <w:p w14:paraId="447203ED">
            <w:pPr>
              <w:autoSpaceDE w:val="0"/>
              <w:autoSpaceDN w:val="0"/>
              <w:spacing w:line="240" w:lineRule="auto"/>
              <w:jc w:val="center"/>
              <w:rPr>
                <w:rFonts w:ascii="宋体" w:hAnsi="宋体" w:cs="宋体"/>
                <w:sz w:val="18"/>
                <w:szCs w:val="18"/>
              </w:rPr>
            </w:pPr>
            <w:r>
              <w:rPr>
                <w:rFonts w:hint="eastAsia" w:ascii="宋体" w:hAnsi="宋体" w:cs="宋体"/>
                <w:sz w:val="18"/>
                <w:szCs w:val="18"/>
              </w:rPr>
              <w:t>2L</w:t>
            </w:r>
          </w:p>
          <w:p w14:paraId="650D77DB">
            <w:pPr>
              <w:autoSpaceDE w:val="0"/>
              <w:autoSpaceDN w:val="0"/>
              <w:spacing w:line="240" w:lineRule="auto"/>
              <w:jc w:val="center"/>
              <w:rPr>
                <w:rFonts w:ascii="宋体" w:hAnsi="宋体" w:cs="宋体"/>
                <w:sz w:val="18"/>
                <w:szCs w:val="18"/>
              </w:rPr>
            </w:pPr>
            <w:r>
              <w:rPr>
                <w:rFonts w:hint="eastAsia" w:ascii="宋体" w:hAnsi="宋体" w:cs="宋体"/>
                <w:sz w:val="18"/>
                <w:szCs w:val="18"/>
              </w:rPr>
              <w:t>2L</w:t>
            </w:r>
          </w:p>
          <w:p w14:paraId="50BC07D1">
            <w:pPr>
              <w:autoSpaceDE w:val="0"/>
              <w:autoSpaceDN w:val="0"/>
              <w:spacing w:line="240" w:lineRule="auto"/>
              <w:jc w:val="center"/>
              <w:rPr>
                <w:rFonts w:ascii="宋体" w:hAnsi="宋体" w:cs="宋体"/>
                <w:sz w:val="18"/>
                <w:szCs w:val="18"/>
              </w:rPr>
            </w:pPr>
            <w:r>
              <w:rPr>
                <w:rFonts w:hint="eastAsia" w:ascii="宋体" w:hAnsi="宋体" w:cs="宋体"/>
                <w:sz w:val="18"/>
                <w:szCs w:val="18"/>
              </w:rPr>
              <w:t>2L</w:t>
            </w:r>
          </w:p>
        </w:tc>
        <w:tc>
          <w:tcPr>
            <w:tcW w:w="453" w:type="pct"/>
            <w:noWrap/>
            <w:vAlign w:val="center"/>
          </w:tcPr>
          <w:p w14:paraId="5884AF0C">
            <w:pPr>
              <w:autoSpaceDE w:val="0"/>
              <w:autoSpaceDN w:val="0"/>
              <w:spacing w:line="240" w:lineRule="auto"/>
              <w:jc w:val="center"/>
              <w:rPr>
                <w:rFonts w:ascii="宋体" w:hAnsi="宋体" w:cs="宋体"/>
                <w:sz w:val="18"/>
                <w:szCs w:val="18"/>
              </w:rPr>
            </w:pPr>
            <w:r>
              <w:rPr>
                <w:rFonts w:hint="eastAsia" w:ascii="宋体" w:hAnsi="宋体" w:cs="宋体"/>
                <w:sz w:val="18"/>
                <w:szCs w:val="18"/>
              </w:rPr>
              <w:t>10 d</w:t>
            </w:r>
          </w:p>
          <w:p w14:paraId="753C3C31">
            <w:pPr>
              <w:autoSpaceDE w:val="0"/>
              <w:autoSpaceDN w:val="0"/>
              <w:spacing w:line="240" w:lineRule="auto"/>
              <w:jc w:val="center"/>
              <w:rPr>
                <w:rFonts w:ascii="宋体" w:hAnsi="宋体" w:cs="宋体"/>
                <w:sz w:val="18"/>
                <w:szCs w:val="18"/>
              </w:rPr>
            </w:pPr>
            <w:r>
              <w:rPr>
                <w:rFonts w:hint="eastAsia" w:ascii="宋体" w:hAnsi="宋体" w:cs="宋体"/>
                <w:sz w:val="18"/>
                <w:szCs w:val="18"/>
              </w:rPr>
              <w:t>10 d</w:t>
            </w:r>
          </w:p>
          <w:p w14:paraId="22DE2607">
            <w:pPr>
              <w:autoSpaceDE w:val="0"/>
              <w:autoSpaceDN w:val="0"/>
              <w:spacing w:line="240" w:lineRule="auto"/>
              <w:jc w:val="center"/>
              <w:rPr>
                <w:rFonts w:ascii="宋体" w:hAnsi="宋体" w:cs="宋体"/>
                <w:sz w:val="18"/>
                <w:szCs w:val="18"/>
              </w:rPr>
            </w:pPr>
            <w:r>
              <w:rPr>
                <w:rFonts w:hint="eastAsia" w:ascii="宋体" w:hAnsi="宋体" w:cs="宋体"/>
                <w:sz w:val="18"/>
                <w:szCs w:val="18"/>
              </w:rPr>
              <w:t>10 d</w:t>
            </w:r>
          </w:p>
        </w:tc>
        <w:tc>
          <w:tcPr>
            <w:tcW w:w="1045" w:type="pct"/>
            <w:noWrap/>
            <w:vAlign w:val="center"/>
          </w:tcPr>
          <w:p w14:paraId="3F65A8B2">
            <w:pPr>
              <w:autoSpaceDE w:val="0"/>
              <w:autoSpaceDN w:val="0"/>
              <w:spacing w:line="240" w:lineRule="auto"/>
              <w:ind w:firstLine="360" w:firstLineChars="200"/>
              <w:jc w:val="both"/>
              <w:rPr>
                <w:rFonts w:ascii="宋体" w:hAnsi="宋体" w:cs="宋体"/>
                <w:sz w:val="18"/>
                <w:szCs w:val="18"/>
              </w:rPr>
            </w:pPr>
            <w:r>
              <w:rPr>
                <w:rFonts w:hint="eastAsia" w:ascii="宋体" w:hAnsi="宋体" w:cs="宋体"/>
                <w:sz w:val="18"/>
                <w:szCs w:val="18"/>
              </w:rPr>
              <w:t>发病初期每株用药，灌根。</w:t>
            </w:r>
          </w:p>
        </w:tc>
      </w:tr>
    </w:tbl>
    <w:p w14:paraId="7F1100DF">
      <w:pPr>
        <w:spacing w:line="240" w:lineRule="auto"/>
        <w:jc w:val="left"/>
      </w:pPr>
      <w:r>
        <w:rPr>
          <w:rFonts w:hint="eastAsia" w:ascii="宋体" w:hAnsi="宋体" w:cs="宋体"/>
          <w:sz w:val="18"/>
          <w:szCs w:val="18"/>
        </w:rPr>
        <w:t>注：选择推荐药剂1种～2种并轮换使用。</w:t>
      </w:r>
    </w:p>
    <w:p w14:paraId="4A5B71E2">
      <w:pPr>
        <w:pStyle w:val="78"/>
        <w:numPr>
          <w:ilvl w:val="0"/>
          <w:numId w:val="0"/>
        </w:numPr>
        <w:spacing w:before="60" w:after="120"/>
        <w:rPr>
          <w:rFonts w:hAnsi="Calibri"/>
        </w:rPr>
      </w:pPr>
      <w:r>
        <w:rPr>
          <w:rFonts w:hint="eastAsia" w:hAnsi="宋体" w:cs="黑体"/>
          <w:szCs w:val="21"/>
          <w:lang w:bidi="ar"/>
        </w:rPr>
        <w:br w:type="page"/>
      </w:r>
      <w:bookmarkStart w:id="232" w:name="_Toc28280"/>
      <w:bookmarkStart w:id="233" w:name="_Toc21702"/>
      <w:r>
        <w:rPr>
          <w:rFonts w:hint="eastAsia" w:hAnsi="Calibri"/>
        </w:rPr>
        <w:t>附</w:t>
      </w:r>
      <w:r>
        <w:rPr>
          <w:rFonts w:hint="eastAsia" w:hAnsi="Calibri"/>
          <w:lang w:eastAsia="zh-CN"/>
        </w:rPr>
        <w:t xml:space="preserve"> </w:t>
      </w:r>
      <w:r>
        <w:rPr>
          <w:rFonts w:hint="eastAsia" w:hAnsi="Calibri"/>
        </w:rPr>
        <w:t>录</w:t>
      </w:r>
      <w:r>
        <w:rPr>
          <w:rFonts w:hint="eastAsia" w:hAnsi="Calibri"/>
          <w:lang w:eastAsia="zh-CN"/>
        </w:rPr>
        <w:t xml:space="preserve"> </w:t>
      </w:r>
      <w:r>
        <w:rPr>
          <w:rFonts w:hint="eastAsia" w:hAnsi="Calibri"/>
        </w:rPr>
        <w:t>D</w:t>
      </w:r>
      <w:bookmarkEnd w:id="232"/>
    </w:p>
    <w:p w14:paraId="312CC325">
      <w:pPr>
        <w:pStyle w:val="78"/>
        <w:numPr>
          <w:ilvl w:val="0"/>
          <w:numId w:val="0"/>
        </w:numPr>
        <w:spacing w:before="60" w:after="120"/>
      </w:pPr>
      <w:bookmarkStart w:id="234" w:name="_Toc21033"/>
      <w:r>
        <w:rPr>
          <w:rFonts w:hint="eastAsia"/>
        </w:rPr>
        <w:t>（资料性）</w:t>
      </w:r>
      <w:bookmarkEnd w:id="234"/>
    </w:p>
    <w:p w14:paraId="1D472654">
      <w:pPr>
        <w:pStyle w:val="78"/>
        <w:numPr>
          <w:ilvl w:val="0"/>
          <w:numId w:val="0"/>
        </w:numPr>
        <w:spacing w:before="60" w:after="120"/>
      </w:pPr>
      <w:bookmarkStart w:id="235" w:name="_Toc12707"/>
      <w:r>
        <w:rPr>
          <w:rFonts w:hint="eastAsia"/>
        </w:rPr>
        <w:t>菠萝蜜主要害虫防治措施</w:t>
      </w:r>
      <w:bookmarkEnd w:id="235"/>
    </w:p>
    <w:p w14:paraId="4D962DB8">
      <w:pPr>
        <w:pStyle w:val="80"/>
        <w:numPr>
          <w:ilvl w:val="1"/>
          <w:numId w:val="0"/>
        </w:numPr>
        <w:spacing w:before="120" w:after="120"/>
        <w:outlineLvl w:val="9"/>
      </w:pPr>
      <w:r>
        <w:rPr>
          <w:rFonts w:hint="eastAsia"/>
        </w:rPr>
        <w:t>D　菠萝蜜主要害虫防治措施</w:t>
      </w:r>
    </w:p>
    <w:p w14:paraId="1564D772">
      <w:pPr>
        <w:pStyle w:val="58"/>
        <w:ind w:firstLine="420"/>
      </w:pPr>
      <w:r>
        <w:rPr>
          <w:rFonts w:hint="eastAsia"/>
        </w:rPr>
        <w:t>菠萝蜜主要害虫防治措施详见表D。</w:t>
      </w:r>
    </w:p>
    <w:p w14:paraId="58A9DD98">
      <w:pPr>
        <w:pStyle w:val="79"/>
        <w:numPr>
          <w:ilvl w:val="1"/>
          <w:numId w:val="0"/>
        </w:numPr>
        <w:spacing w:before="120" w:after="120"/>
        <w:rPr>
          <w:highlight w:val="red"/>
        </w:rPr>
      </w:pPr>
      <w:r>
        <w:rPr>
          <w:rFonts w:hint="eastAsia"/>
        </w:rPr>
        <w:t>表D 菠萝蜜主要害虫防治措施</w:t>
      </w:r>
    </w:p>
    <w:tbl>
      <w:tblPr>
        <w:tblStyle w:val="28"/>
        <w:tblW w:w="494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91"/>
        <w:gridCol w:w="2663"/>
        <w:gridCol w:w="1987"/>
        <w:gridCol w:w="1460"/>
        <w:gridCol w:w="919"/>
        <w:gridCol w:w="1650"/>
      </w:tblGrid>
      <w:tr w14:paraId="14A783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blHeader/>
        </w:trPr>
        <w:tc>
          <w:tcPr>
            <w:tcW w:w="417" w:type="pct"/>
            <w:noWrap/>
            <w:vAlign w:val="center"/>
          </w:tcPr>
          <w:p w14:paraId="07A6FE5E">
            <w:pPr>
              <w:adjustRightInd/>
              <w:spacing w:line="240" w:lineRule="auto"/>
              <w:jc w:val="center"/>
              <w:rPr>
                <w:rFonts w:ascii="宋体" w:hAnsi="宋体" w:cs="宋体"/>
                <w:sz w:val="18"/>
                <w:szCs w:val="18"/>
              </w:rPr>
            </w:pPr>
            <w:r>
              <w:rPr>
                <w:rFonts w:ascii="宋体" w:hAnsi="宋体" w:cs="宋体"/>
                <w:sz w:val="18"/>
                <w:szCs w:val="18"/>
              </w:rPr>
              <w:t>害虫</w:t>
            </w:r>
          </w:p>
          <w:p w14:paraId="2C791013">
            <w:pPr>
              <w:adjustRightInd/>
              <w:spacing w:line="240" w:lineRule="auto"/>
              <w:jc w:val="center"/>
              <w:rPr>
                <w:rFonts w:ascii="宋体" w:hAnsi="宋体" w:cs="宋体"/>
                <w:sz w:val="18"/>
                <w:szCs w:val="18"/>
              </w:rPr>
            </w:pPr>
            <w:r>
              <w:rPr>
                <w:rFonts w:ascii="宋体" w:hAnsi="宋体" w:cs="宋体"/>
                <w:sz w:val="18"/>
                <w:szCs w:val="18"/>
              </w:rPr>
              <w:t>名称</w:t>
            </w:r>
          </w:p>
        </w:tc>
        <w:tc>
          <w:tcPr>
            <w:tcW w:w="1405" w:type="pct"/>
            <w:noWrap/>
            <w:vAlign w:val="center"/>
          </w:tcPr>
          <w:p w14:paraId="3B6A7E06">
            <w:pPr>
              <w:adjustRightInd/>
              <w:spacing w:line="240" w:lineRule="auto"/>
              <w:jc w:val="center"/>
              <w:rPr>
                <w:rFonts w:ascii="宋体" w:hAnsi="宋体" w:cs="宋体"/>
                <w:sz w:val="18"/>
                <w:szCs w:val="18"/>
              </w:rPr>
            </w:pPr>
            <w:r>
              <w:rPr>
                <w:rFonts w:hint="eastAsia" w:ascii="宋体" w:hAnsi="宋体" w:cs="宋体"/>
                <w:sz w:val="18"/>
                <w:szCs w:val="18"/>
              </w:rPr>
              <w:t>为</w:t>
            </w:r>
            <w:r>
              <w:rPr>
                <w:rFonts w:ascii="宋体" w:hAnsi="宋体" w:cs="宋体"/>
                <w:sz w:val="18"/>
                <w:szCs w:val="18"/>
              </w:rPr>
              <w:t>害特征图</w:t>
            </w:r>
          </w:p>
        </w:tc>
        <w:tc>
          <w:tcPr>
            <w:tcW w:w="1049" w:type="pct"/>
            <w:noWrap/>
            <w:vAlign w:val="center"/>
          </w:tcPr>
          <w:p w14:paraId="7F716CD7">
            <w:pPr>
              <w:adjustRightInd/>
              <w:spacing w:line="240" w:lineRule="auto"/>
              <w:jc w:val="center"/>
              <w:rPr>
                <w:rFonts w:ascii="宋体" w:hAnsi="宋体" w:cs="宋体"/>
                <w:sz w:val="18"/>
                <w:szCs w:val="18"/>
              </w:rPr>
            </w:pPr>
            <w:r>
              <w:rPr>
                <w:rFonts w:ascii="宋体" w:hAnsi="宋体" w:cs="宋体"/>
                <w:sz w:val="18"/>
                <w:szCs w:val="18"/>
              </w:rPr>
              <w:t>推荐药剂</w:t>
            </w:r>
          </w:p>
        </w:tc>
        <w:tc>
          <w:tcPr>
            <w:tcW w:w="771" w:type="pct"/>
            <w:noWrap/>
            <w:vAlign w:val="center"/>
          </w:tcPr>
          <w:p w14:paraId="3D696AF1">
            <w:pPr>
              <w:widowControl/>
              <w:jc w:val="center"/>
              <w:rPr>
                <w:rFonts w:ascii="宋体" w:hAnsi="宋体" w:cs="宋体"/>
                <w:sz w:val="18"/>
                <w:szCs w:val="18"/>
              </w:rPr>
            </w:pPr>
            <w:r>
              <w:rPr>
                <w:rFonts w:hint="eastAsia" w:ascii="宋体" w:hAnsi="宋体" w:cs="宋体"/>
                <w:color w:val="000000"/>
                <w:kern w:val="0"/>
                <w:sz w:val="18"/>
                <w:szCs w:val="18"/>
                <w:lang w:bidi="ar"/>
              </w:rPr>
              <w:t>稀释倍数/用量</w:t>
            </w:r>
          </w:p>
        </w:tc>
        <w:tc>
          <w:tcPr>
            <w:tcW w:w="485" w:type="pct"/>
            <w:noWrap/>
            <w:vAlign w:val="center"/>
          </w:tcPr>
          <w:p w14:paraId="10387CB1">
            <w:pPr>
              <w:adjustRightInd/>
              <w:spacing w:line="240" w:lineRule="auto"/>
              <w:jc w:val="center"/>
              <w:rPr>
                <w:rFonts w:ascii="宋体" w:hAnsi="宋体" w:cs="宋体"/>
                <w:sz w:val="18"/>
                <w:szCs w:val="18"/>
              </w:rPr>
            </w:pPr>
            <w:r>
              <w:rPr>
                <w:rFonts w:hint="eastAsia" w:ascii="宋体" w:hAnsi="宋体" w:cs="宋体"/>
                <w:sz w:val="18"/>
                <w:szCs w:val="18"/>
              </w:rPr>
              <w:t>安全间隔</w:t>
            </w:r>
          </w:p>
          <w:p w14:paraId="62143D4F">
            <w:pPr>
              <w:adjustRightInd/>
              <w:spacing w:line="240" w:lineRule="auto"/>
              <w:jc w:val="center"/>
              <w:rPr>
                <w:rFonts w:ascii="宋体" w:hAnsi="宋体" w:cs="宋体"/>
                <w:sz w:val="18"/>
                <w:szCs w:val="18"/>
              </w:rPr>
            </w:pPr>
            <w:r>
              <w:rPr>
                <w:rFonts w:hint="eastAsia" w:ascii="宋体" w:hAnsi="宋体" w:cs="宋体"/>
                <w:sz w:val="18"/>
                <w:szCs w:val="18"/>
              </w:rPr>
              <w:t>期，d</w:t>
            </w:r>
          </w:p>
        </w:tc>
        <w:tc>
          <w:tcPr>
            <w:tcW w:w="871" w:type="pct"/>
            <w:noWrap/>
            <w:vAlign w:val="center"/>
          </w:tcPr>
          <w:p w14:paraId="3D80E394">
            <w:pPr>
              <w:adjustRightInd/>
              <w:spacing w:line="240" w:lineRule="auto"/>
              <w:jc w:val="center"/>
              <w:rPr>
                <w:rFonts w:ascii="宋体" w:hAnsi="宋体" w:cs="宋体"/>
                <w:sz w:val="18"/>
                <w:szCs w:val="18"/>
              </w:rPr>
            </w:pPr>
            <w:r>
              <w:rPr>
                <w:rFonts w:ascii="宋体" w:hAnsi="宋体" w:cs="宋体"/>
                <w:sz w:val="18"/>
                <w:szCs w:val="18"/>
              </w:rPr>
              <w:t>防治时期和方法</w:t>
            </w:r>
          </w:p>
        </w:tc>
      </w:tr>
      <w:tr w14:paraId="14F8E9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417" w:type="pct"/>
            <w:noWrap/>
            <w:vAlign w:val="center"/>
          </w:tcPr>
          <w:p w14:paraId="796BA992">
            <w:pPr>
              <w:adjustRightInd/>
              <w:spacing w:line="240" w:lineRule="auto"/>
              <w:jc w:val="center"/>
              <w:rPr>
                <w:rFonts w:ascii="宋体" w:hAnsi="宋体" w:cs="宋体"/>
                <w:sz w:val="18"/>
                <w:szCs w:val="18"/>
              </w:rPr>
            </w:pPr>
            <w:r>
              <w:rPr>
                <w:rFonts w:ascii="宋体" w:hAnsi="宋体" w:cs="宋体"/>
                <w:sz w:val="18"/>
                <w:szCs w:val="18"/>
              </w:rPr>
              <w:t>黄翅</w:t>
            </w:r>
          </w:p>
          <w:p w14:paraId="32554678">
            <w:pPr>
              <w:adjustRightInd/>
              <w:spacing w:line="240" w:lineRule="auto"/>
              <w:jc w:val="center"/>
              <w:rPr>
                <w:rFonts w:ascii="宋体" w:hAnsi="宋体" w:cs="宋体"/>
                <w:sz w:val="18"/>
                <w:szCs w:val="18"/>
              </w:rPr>
            </w:pPr>
            <w:r>
              <w:rPr>
                <w:rFonts w:ascii="宋体" w:hAnsi="宋体" w:cs="宋体"/>
                <w:sz w:val="18"/>
                <w:szCs w:val="18"/>
              </w:rPr>
              <w:t>绢野螟</w:t>
            </w:r>
          </w:p>
        </w:tc>
        <w:tc>
          <w:tcPr>
            <w:tcW w:w="1405" w:type="pct"/>
            <w:noWrap/>
          </w:tcPr>
          <w:p w14:paraId="0C7D29F6">
            <w:pPr>
              <w:adjustRightInd/>
              <w:spacing w:line="240" w:lineRule="auto"/>
              <w:jc w:val="center"/>
              <w:rPr>
                <w:rFonts w:ascii="宋体" w:hAnsi="宋体" w:cs="宋体"/>
                <w:sz w:val="18"/>
                <w:szCs w:val="18"/>
              </w:rPr>
            </w:pPr>
            <w:r>
              <w:drawing>
                <wp:inline distT="0" distB="0" distL="114300" distR="114300">
                  <wp:extent cx="1440180" cy="1619885"/>
                  <wp:effectExtent l="0" t="0" r="7620" b="18415"/>
                  <wp:docPr id="84996" name="图片 51203" descr="DSC09348"/>
                  <wp:cNvGraphicFramePr/>
                  <a:graphic xmlns:a="http://schemas.openxmlformats.org/drawingml/2006/main">
                    <a:graphicData uri="http://schemas.openxmlformats.org/drawingml/2006/picture">
                      <pic:pic xmlns:pic="http://schemas.openxmlformats.org/drawingml/2006/picture">
                        <pic:nvPicPr>
                          <pic:cNvPr id="84996" name="图片 51203" descr="DSC09348"/>
                          <pic:cNvPicPr/>
                        </pic:nvPicPr>
                        <pic:blipFill>
                          <a:blip r:embed="rId28" cstate="print"/>
                          <a:srcRect l="11728" r="22879"/>
                          <a:stretch>
                            <a:fillRect/>
                          </a:stretch>
                        </pic:blipFill>
                        <pic:spPr>
                          <a:xfrm>
                            <a:off x="0" y="0"/>
                            <a:ext cx="1440180" cy="1619885"/>
                          </a:xfrm>
                          <a:prstGeom prst="rect">
                            <a:avLst/>
                          </a:prstGeom>
                          <a:ln w="9525">
                            <a:noFill/>
                          </a:ln>
                        </pic:spPr>
                      </pic:pic>
                    </a:graphicData>
                  </a:graphic>
                </wp:inline>
              </w:drawing>
            </w:r>
          </w:p>
        </w:tc>
        <w:tc>
          <w:tcPr>
            <w:tcW w:w="1049" w:type="pct"/>
            <w:noWrap/>
            <w:vAlign w:val="center"/>
          </w:tcPr>
          <w:p w14:paraId="38BF76F8">
            <w:pPr>
              <w:adjustRightInd/>
              <w:spacing w:line="240" w:lineRule="auto"/>
              <w:jc w:val="center"/>
              <w:rPr>
                <w:rFonts w:ascii="宋体" w:hAnsi="宋体" w:cs="宋体"/>
                <w:sz w:val="18"/>
                <w:szCs w:val="18"/>
              </w:rPr>
            </w:pPr>
            <w:r>
              <w:rPr>
                <w:rFonts w:ascii="宋体" w:hAnsi="宋体" w:cs="宋体"/>
                <w:sz w:val="18"/>
                <w:szCs w:val="18"/>
              </w:rPr>
              <w:t>5%甲氨基阿维菌素苯甲酸盐水分散粒剂</w:t>
            </w:r>
          </w:p>
          <w:p w14:paraId="2443CF34">
            <w:pPr>
              <w:adjustRightInd/>
              <w:spacing w:line="240" w:lineRule="auto"/>
              <w:jc w:val="center"/>
              <w:rPr>
                <w:rFonts w:ascii="宋体" w:hAnsi="宋体" w:cs="宋体"/>
                <w:sz w:val="18"/>
                <w:szCs w:val="18"/>
              </w:rPr>
            </w:pPr>
            <w:r>
              <w:rPr>
                <w:rFonts w:ascii="宋体" w:hAnsi="宋体" w:cs="宋体"/>
                <w:sz w:val="18"/>
                <w:szCs w:val="18"/>
              </w:rPr>
              <w:t>5%氯虫苯甲酰胺悬浮剂</w:t>
            </w:r>
          </w:p>
          <w:p w14:paraId="5870BFD4">
            <w:pPr>
              <w:adjustRightInd/>
              <w:spacing w:line="240" w:lineRule="auto"/>
              <w:jc w:val="center"/>
              <w:rPr>
                <w:rFonts w:ascii="宋体" w:hAnsi="宋体" w:cs="宋体"/>
                <w:sz w:val="18"/>
                <w:szCs w:val="18"/>
              </w:rPr>
            </w:pPr>
            <w:r>
              <w:rPr>
                <w:rFonts w:hint="eastAsia" w:ascii="宋体" w:hAnsi="宋体" w:cs="宋体"/>
                <w:sz w:val="18"/>
                <w:szCs w:val="18"/>
              </w:rPr>
              <w:t>8000 IU/μ</w:t>
            </w:r>
            <w:r>
              <w:rPr>
                <w:rFonts w:ascii="宋体" w:hAnsi="宋体" w:cs="宋体"/>
                <w:sz w:val="18"/>
                <w:szCs w:val="18"/>
              </w:rPr>
              <w:t>L</w:t>
            </w:r>
            <w:r>
              <w:rPr>
                <w:rFonts w:hint="eastAsia" w:ascii="宋体" w:hAnsi="宋体" w:cs="宋体"/>
                <w:sz w:val="18"/>
                <w:szCs w:val="18"/>
              </w:rPr>
              <w:t>苏云金杆菌悬浮剂</w:t>
            </w:r>
          </w:p>
          <w:p w14:paraId="787BFBDB">
            <w:pPr>
              <w:adjustRightInd/>
              <w:spacing w:line="240" w:lineRule="auto"/>
              <w:jc w:val="center"/>
              <w:rPr>
                <w:rFonts w:ascii="宋体" w:hAnsi="宋体" w:cs="宋体"/>
                <w:sz w:val="18"/>
                <w:szCs w:val="18"/>
              </w:rPr>
            </w:pPr>
            <w:r>
              <w:rPr>
                <w:rFonts w:ascii="宋体" w:hAnsi="宋体" w:cs="宋体"/>
                <w:sz w:val="18"/>
                <w:szCs w:val="18"/>
              </w:rPr>
              <w:t>2.5%溴氰菊酯乳油</w:t>
            </w:r>
          </w:p>
        </w:tc>
        <w:tc>
          <w:tcPr>
            <w:tcW w:w="771" w:type="pct"/>
            <w:noWrap/>
            <w:vAlign w:val="center"/>
          </w:tcPr>
          <w:p w14:paraId="477A0A94">
            <w:pPr>
              <w:adjustRightInd/>
              <w:spacing w:line="240" w:lineRule="auto"/>
              <w:jc w:val="center"/>
              <w:rPr>
                <w:rFonts w:ascii="宋体" w:hAnsi="宋体" w:cs="宋体"/>
                <w:sz w:val="18"/>
                <w:szCs w:val="18"/>
              </w:rPr>
            </w:pPr>
            <w:r>
              <w:rPr>
                <w:rFonts w:hint="eastAsia" w:ascii="宋体" w:hAnsi="宋体" w:cs="宋体"/>
                <w:sz w:val="18"/>
                <w:szCs w:val="18"/>
              </w:rPr>
              <w:t xml:space="preserve">6 </w:t>
            </w:r>
            <w:r>
              <w:rPr>
                <w:rFonts w:ascii="宋体" w:hAnsi="宋体" w:cs="宋体"/>
                <w:sz w:val="18"/>
                <w:szCs w:val="18"/>
              </w:rPr>
              <w:t>000倍液</w:t>
            </w:r>
          </w:p>
          <w:p w14:paraId="2FF499B9">
            <w:pPr>
              <w:adjustRightInd/>
              <w:spacing w:line="240" w:lineRule="auto"/>
              <w:jc w:val="center"/>
              <w:rPr>
                <w:rFonts w:ascii="宋体" w:hAnsi="宋体" w:cs="宋体"/>
                <w:sz w:val="18"/>
                <w:szCs w:val="18"/>
              </w:rPr>
            </w:pPr>
            <w:r>
              <w:rPr>
                <w:rFonts w:ascii="宋体" w:hAnsi="宋体" w:cs="宋体"/>
                <w:sz w:val="18"/>
                <w:szCs w:val="18"/>
              </w:rPr>
              <w:t>1</w:t>
            </w:r>
            <w:r>
              <w:rPr>
                <w:rFonts w:hint="eastAsia" w:ascii="宋体" w:hAnsi="宋体" w:cs="宋体"/>
                <w:sz w:val="18"/>
                <w:szCs w:val="18"/>
              </w:rPr>
              <w:t xml:space="preserve"> </w:t>
            </w:r>
            <w:r>
              <w:rPr>
                <w:rFonts w:ascii="宋体" w:hAnsi="宋体" w:cs="宋体"/>
                <w:sz w:val="18"/>
                <w:szCs w:val="18"/>
              </w:rPr>
              <w:t>000倍液</w:t>
            </w:r>
          </w:p>
          <w:p w14:paraId="55BA0C66">
            <w:pPr>
              <w:adjustRightInd/>
              <w:spacing w:line="240" w:lineRule="auto"/>
              <w:jc w:val="center"/>
              <w:rPr>
                <w:rFonts w:ascii="宋体" w:hAnsi="宋体" w:cs="宋体"/>
                <w:sz w:val="18"/>
                <w:szCs w:val="18"/>
              </w:rPr>
            </w:pPr>
            <w:r>
              <w:rPr>
                <w:rFonts w:hint="eastAsia" w:ascii="宋体" w:hAnsi="宋体" w:cs="宋体"/>
                <w:sz w:val="18"/>
                <w:szCs w:val="18"/>
              </w:rPr>
              <w:t>1 000</w:t>
            </w:r>
            <w:r>
              <w:rPr>
                <w:rFonts w:ascii="宋体" w:hAnsi="宋体" w:cs="宋体"/>
                <w:sz w:val="18"/>
                <w:szCs w:val="18"/>
              </w:rPr>
              <w:t>～</w:t>
            </w:r>
            <w:r>
              <w:rPr>
                <w:rFonts w:hint="eastAsia" w:ascii="宋体" w:hAnsi="宋体" w:cs="宋体"/>
                <w:sz w:val="18"/>
                <w:szCs w:val="18"/>
              </w:rPr>
              <w:t>2 000倍液</w:t>
            </w:r>
          </w:p>
          <w:p w14:paraId="5D7A75C0">
            <w:pPr>
              <w:adjustRightInd/>
              <w:spacing w:line="240" w:lineRule="auto"/>
              <w:jc w:val="center"/>
              <w:rPr>
                <w:rFonts w:ascii="宋体" w:hAnsi="宋体" w:cs="宋体"/>
                <w:sz w:val="18"/>
                <w:szCs w:val="18"/>
              </w:rPr>
            </w:pPr>
            <w:r>
              <w:rPr>
                <w:rFonts w:ascii="宋体" w:hAnsi="宋体" w:cs="宋体"/>
                <w:sz w:val="18"/>
                <w:szCs w:val="18"/>
              </w:rPr>
              <w:t>1</w:t>
            </w:r>
            <w:r>
              <w:rPr>
                <w:rFonts w:hint="eastAsia" w:ascii="宋体" w:hAnsi="宋体" w:cs="宋体"/>
                <w:sz w:val="18"/>
                <w:szCs w:val="18"/>
              </w:rPr>
              <w:t xml:space="preserve"> </w:t>
            </w:r>
            <w:r>
              <w:rPr>
                <w:rFonts w:ascii="宋体" w:hAnsi="宋体" w:cs="宋体"/>
                <w:sz w:val="18"/>
                <w:szCs w:val="18"/>
              </w:rPr>
              <w:t>500倍液</w:t>
            </w:r>
          </w:p>
        </w:tc>
        <w:tc>
          <w:tcPr>
            <w:tcW w:w="485" w:type="pct"/>
            <w:noWrap/>
            <w:vAlign w:val="center"/>
          </w:tcPr>
          <w:p w14:paraId="3E0438A4">
            <w:pPr>
              <w:adjustRightInd/>
              <w:spacing w:line="240" w:lineRule="auto"/>
              <w:jc w:val="center"/>
              <w:rPr>
                <w:rFonts w:ascii="宋体" w:hAnsi="宋体" w:cs="宋体"/>
                <w:sz w:val="18"/>
                <w:szCs w:val="18"/>
              </w:rPr>
            </w:pPr>
            <w:r>
              <w:rPr>
                <w:rFonts w:hint="eastAsia" w:ascii="宋体" w:hAnsi="宋体" w:cs="宋体"/>
                <w:sz w:val="18"/>
                <w:szCs w:val="18"/>
              </w:rPr>
              <w:t>21 d</w:t>
            </w:r>
          </w:p>
          <w:p w14:paraId="42FDC904">
            <w:pPr>
              <w:adjustRightInd/>
              <w:spacing w:line="240" w:lineRule="auto"/>
              <w:jc w:val="center"/>
              <w:rPr>
                <w:rFonts w:ascii="宋体" w:hAnsi="宋体" w:cs="宋体"/>
                <w:sz w:val="18"/>
                <w:szCs w:val="18"/>
              </w:rPr>
            </w:pPr>
            <w:r>
              <w:rPr>
                <w:rFonts w:hint="eastAsia" w:ascii="宋体" w:hAnsi="宋体" w:cs="宋体"/>
                <w:sz w:val="18"/>
                <w:szCs w:val="18"/>
              </w:rPr>
              <w:t>5 d</w:t>
            </w:r>
          </w:p>
          <w:p w14:paraId="1D156556">
            <w:pPr>
              <w:adjustRightInd/>
              <w:spacing w:line="240" w:lineRule="auto"/>
              <w:jc w:val="center"/>
              <w:rPr>
                <w:rFonts w:ascii="宋体" w:hAnsi="宋体" w:cs="宋体"/>
                <w:sz w:val="18"/>
                <w:szCs w:val="18"/>
              </w:rPr>
            </w:pPr>
            <w:r>
              <w:rPr>
                <w:rFonts w:hint="eastAsia" w:ascii="宋体" w:hAnsi="宋体" w:cs="宋体"/>
                <w:sz w:val="18"/>
                <w:szCs w:val="18"/>
              </w:rPr>
              <w:t>7 d</w:t>
            </w:r>
          </w:p>
          <w:p w14:paraId="58DD67A3">
            <w:pPr>
              <w:adjustRightInd/>
              <w:spacing w:line="240" w:lineRule="auto"/>
              <w:jc w:val="center"/>
              <w:rPr>
                <w:rFonts w:ascii="宋体" w:hAnsi="宋体" w:cs="宋体"/>
                <w:sz w:val="18"/>
                <w:szCs w:val="18"/>
              </w:rPr>
            </w:pPr>
            <w:r>
              <w:rPr>
                <w:rFonts w:hint="eastAsia" w:ascii="宋体" w:hAnsi="宋体" w:cs="宋体"/>
                <w:sz w:val="18"/>
                <w:szCs w:val="18"/>
              </w:rPr>
              <w:t>15 d</w:t>
            </w:r>
          </w:p>
        </w:tc>
        <w:tc>
          <w:tcPr>
            <w:tcW w:w="871" w:type="pct"/>
            <w:noWrap/>
            <w:vAlign w:val="center"/>
          </w:tcPr>
          <w:p w14:paraId="40DDB86C">
            <w:pPr>
              <w:adjustRightInd/>
              <w:spacing w:line="240" w:lineRule="auto"/>
              <w:jc w:val="center"/>
              <w:rPr>
                <w:rFonts w:ascii="宋体" w:hAnsi="宋体" w:cs="宋体"/>
                <w:sz w:val="18"/>
                <w:szCs w:val="18"/>
              </w:rPr>
            </w:pPr>
            <w:r>
              <w:rPr>
                <w:rFonts w:hint="eastAsia" w:ascii="宋体" w:hAnsi="宋体" w:cs="宋体"/>
                <w:sz w:val="18"/>
                <w:szCs w:val="18"/>
              </w:rPr>
              <w:t>危害初期</w:t>
            </w:r>
            <w:r>
              <w:rPr>
                <w:rFonts w:ascii="宋体" w:hAnsi="宋体" w:cs="宋体"/>
                <w:sz w:val="18"/>
                <w:szCs w:val="18"/>
              </w:rPr>
              <w:t>进行全园喷药，每隔</w:t>
            </w:r>
            <w:r>
              <w:rPr>
                <w:rFonts w:hint="eastAsia" w:ascii="宋体" w:hAnsi="宋体" w:cs="宋体"/>
                <w:sz w:val="18"/>
                <w:szCs w:val="18"/>
                <w:lang w:val="en-US" w:eastAsia="zh-CN"/>
              </w:rPr>
              <w:t xml:space="preserve"> </w:t>
            </w:r>
            <w:r>
              <w:rPr>
                <w:rFonts w:ascii="宋体" w:hAnsi="宋体" w:cs="宋体"/>
                <w:sz w:val="18"/>
                <w:szCs w:val="18"/>
              </w:rPr>
              <w:t>7 d～10 d喷施1次，连续喷施2～3次。</w:t>
            </w:r>
          </w:p>
        </w:tc>
      </w:tr>
      <w:tr w14:paraId="2FEBD9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417" w:type="pct"/>
            <w:noWrap/>
            <w:vAlign w:val="center"/>
          </w:tcPr>
          <w:p w14:paraId="2C2CD893">
            <w:pPr>
              <w:adjustRightInd/>
              <w:spacing w:line="240" w:lineRule="auto"/>
              <w:jc w:val="center"/>
              <w:rPr>
                <w:rFonts w:ascii="宋体" w:hAnsi="宋体" w:cs="宋体"/>
                <w:sz w:val="18"/>
                <w:szCs w:val="18"/>
              </w:rPr>
            </w:pPr>
            <w:r>
              <w:rPr>
                <w:rFonts w:hint="eastAsia" w:ascii="宋体" w:hAnsi="宋体" w:cs="宋体"/>
                <w:sz w:val="18"/>
                <w:szCs w:val="18"/>
              </w:rPr>
              <w:t>实蝇</w:t>
            </w:r>
          </w:p>
        </w:tc>
        <w:tc>
          <w:tcPr>
            <w:tcW w:w="1405" w:type="pct"/>
            <w:noWrap/>
          </w:tcPr>
          <w:p w14:paraId="4F7D471C">
            <w:pPr>
              <w:adjustRightInd/>
              <w:spacing w:line="240" w:lineRule="auto"/>
              <w:jc w:val="center"/>
              <w:rPr>
                <w:rFonts w:ascii="宋体" w:hAnsi="宋体" w:cs="宋体"/>
                <w:sz w:val="18"/>
                <w:szCs w:val="18"/>
              </w:rPr>
            </w:pPr>
            <w:r>
              <w:rPr>
                <w:rFonts w:hint="eastAsia" w:ascii="宋体" w:hAnsi="宋体" w:cs="宋体"/>
                <w:sz w:val="18"/>
                <w:szCs w:val="18"/>
              </w:rPr>
              <w:drawing>
                <wp:inline distT="0" distB="0" distL="114300" distR="114300">
                  <wp:extent cx="1440180" cy="1421765"/>
                  <wp:effectExtent l="0" t="0" r="7620" b="6985"/>
                  <wp:docPr id="8" name="图片 8" descr="f37285fb25df98f5f0226fc2212f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37285fb25df98f5f0226fc2212f2a1"/>
                          <pic:cNvPicPr>
                            <a:picLocks noChangeAspect="1"/>
                          </pic:cNvPicPr>
                        </pic:nvPicPr>
                        <pic:blipFill>
                          <a:blip r:embed="rId29"/>
                          <a:stretch>
                            <a:fillRect/>
                          </a:stretch>
                        </pic:blipFill>
                        <pic:spPr>
                          <a:xfrm>
                            <a:off x="0" y="0"/>
                            <a:ext cx="1440180" cy="1421765"/>
                          </a:xfrm>
                          <a:prstGeom prst="rect">
                            <a:avLst/>
                          </a:prstGeom>
                        </pic:spPr>
                      </pic:pic>
                    </a:graphicData>
                  </a:graphic>
                </wp:inline>
              </w:drawing>
            </w:r>
          </w:p>
        </w:tc>
        <w:tc>
          <w:tcPr>
            <w:tcW w:w="1049" w:type="pct"/>
            <w:noWrap/>
            <w:vAlign w:val="center"/>
          </w:tcPr>
          <w:p w14:paraId="141DD07F">
            <w:pPr>
              <w:adjustRightInd/>
              <w:spacing w:line="240" w:lineRule="auto"/>
              <w:jc w:val="center"/>
              <w:rPr>
                <w:rFonts w:ascii="宋体" w:hAnsi="宋体" w:cs="宋体"/>
                <w:sz w:val="18"/>
                <w:szCs w:val="18"/>
              </w:rPr>
            </w:pPr>
            <w:r>
              <w:rPr>
                <w:rFonts w:hint="eastAsia" w:ascii="宋体" w:hAnsi="宋体" w:cs="宋体"/>
                <w:sz w:val="18"/>
                <w:szCs w:val="18"/>
              </w:rPr>
              <w:t>1.8%阿维菌素乳油</w:t>
            </w:r>
          </w:p>
          <w:p w14:paraId="56D44B03">
            <w:pPr>
              <w:adjustRightInd/>
              <w:spacing w:line="240" w:lineRule="auto"/>
              <w:jc w:val="center"/>
              <w:rPr>
                <w:rFonts w:ascii="宋体" w:hAnsi="宋体" w:cs="宋体"/>
                <w:sz w:val="18"/>
                <w:szCs w:val="18"/>
              </w:rPr>
            </w:pPr>
          </w:p>
        </w:tc>
        <w:tc>
          <w:tcPr>
            <w:tcW w:w="771" w:type="pct"/>
            <w:noWrap/>
            <w:vAlign w:val="center"/>
          </w:tcPr>
          <w:p w14:paraId="294E98BE">
            <w:pPr>
              <w:adjustRightInd/>
              <w:spacing w:line="240" w:lineRule="auto"/>
              <w:jc w:val="center"/>
              <w:rPr>
                <w:rFonts w:ascii="宋体" w:hAnsi="宋体" w:cs="宋体"/>
                <w:sz w:val="18"/>
                <w:szCs w:val="18"/>
              </w:rPr>
            </w:pPr>
            <w:r>
              <w:rPr>
                <w:rFonts w:hint="eastAsia" w:ascii="宋体" w:hAnsi="宋体" w:cs="宋体"/>
                <w:sz w:val="18"/>
                <w:szCs w:val="18"/>
              </w:rPr>
              <w:t>1 000～1 200倍</w:t>
            </w:r>
            <w:r>
              <w:rPr>
                <w:rFonts w:ascii="宋体" w:hAnsi="宋体" w:cs="宋体"/>
                <w:sz w:val="18"/>
                <w:szCs w:val="18"/>
              </w:rPr>
              <w:t>液</w:t>
            </w:r>
          </w:p>
          <w:p w14:paraId="47468505">
            <w:pPr>
              <w:adjustRightInd/>
              <w:spacing w:line="240" w:lineRule="auto"/>
              <w:jc w:val="center"/>
              <w:rPr>
                <w:rFonts w:ascii="宋体" w:hAnsi="宋体" w:cs="宋体"/>
                <w:sz w:val="18"/>
                <w:szCs w:val="18"/>
              </w:rPr>
            </w:pPr>
          </w:p>
        </w:tc>
        <w:tc>
          <w:tcPr>
            <w:tcW w:w="485" w:type="pct"/>
            <w:noWrap/>
            <w:vAlign w:val="center"/>
          </w:tcPr>
          <w:p w14:paraId="7769DC0B">
            <w:pPr>
              <w:adjustRightInd/>
              <w:spacing w:line="240" w:lineRule="auto"/>
              <w:jc w:val="center"/>
              <w:rPr>
                <w:rFonts w:ascii="宋体" w:hAnsi="宋体" w:cs="宋体"/>
                <w:sz w:val="18"/>
                <w:szCs w:val="18"/>
              </w:rPr>
            </w:pPr>
            <w:r>
              <w:rPr>
                <w:rFonts w:hint="eastAsia" w:ascii="宋体" w:hAnsi="宋体" w:cs="宋体"/>
                <w:sz w:val="18"/>
                <w:szCs w:val="18"/>
              </w:rPr>
              <w:t>15 d</w:t>
            </w:r>
          </w:p>
          <w:p w14:paraId="332B79EC">
            <w:pPr>
              <w:adjustRightInd/>
              <w:spacing w:line="240" w:lineRule="auto"/>
              <w:jc w:val="center"/>
              <w:rPr>
                <w:rFonts w:ascii="宋体" w:hAnsi="宋体" w:cs="宋体"/>
                <w:sz w:val="18"/>
                <w:szCs w:val="18"/>
              </w:rPr>
            </w:pPr>
          </w:p>
        </w:tc>
        <w:tc>
          <w:tcPr>
            <w:tcW w:w="871" w:type="pct"/>
            <w:noWrap/>
            <w:vAlign w:val="center"/>
          </w:tcPr>
          <w:p w14:paraId="25F12A2D">
            <w:pPr>
              <w:adjustRightInd/>
              <w:spacing w:line="240" w:lineRule="auto"/>
              <w:jc w:val="center"/>
              <w:rPr>
                <w:rFonts w:ascii="宋体" w:hAnsi="宋体" w:cs="宋体"/>
                <w:sz w:val="18"/>
                <w:szCs w:val="18"/>
              </w:rPr>
            </w:pPr>
            <w:r>
              <w:rPr>
                <w:rFonts w:ascii="宋体" w:hAnsi="宋体" w:cs="宋体"/>
                <w:sz w:val="18"/>
                <w:szCs w:val="18"/>
              </w:rPr>
              <w:t>发生盛期喷施，药剂混合蛋白水解物或3%红糖水进行诱杀，每7 d喷1次，除喷洒整树叶片外，还应喷施于果园附近的草丛或树丛叶片，以清除残存虫源。</w:t>
            </w:r>
          </w:p>
        </w:tc>
      </w:tr>
      <w:tr w14:paraId="44690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417" w:type="pct"/>
            <w:noWrap/>
            <w:vAlign w:val="center"/>
          </w:tcPr>
          <w:p w14:paraId="05F8D6CB">
            <w:pPr>
              <w:adjustRightInd/>
              <w:spacing w:line="240" w:lineRule="auto"/>
              <w:jc w:val="center"/>
              <w:rPr>
                <w:rFonts w:ascii="宋体" w:hAnsi="宋体" w:cs="宋体"/>
                <w:sz w:val="18"/>
                <w:szCs w:val="18"/>
              </w:rPr>
            </w:pPr>
            <w:r>
              <w:rPr>
                <w:rFonts w:ascii="宋体" w:hAnsi="宋体" w:cs="宋体"/>
                <w:sz w:val="18"/>
                <w:szCs w:val="18"/>
              </w:rPr>
              <w:t>天牛</w:t>
            </w:r>
          </w:p>
        </w:tc>
        <w:tc>
          <w:tcPr>
            <w:tcW w:w="1405" w:type="pct"/>
            <w:noWrap/>
          </w:tcPr>
          <w:p w14:paraId="3654EBFC">
            <w:pPr>
              <w:adjustRightInd/>
              <w:spacing w:line="240" w:lineRule="auto"/>
              <w:jc w:val="center"/>
              <w:rPr>
                <w:rFonts w:ascii="宋体" w:hAnsi="宋体" w:cs="宋体"/>
                <w:sz w:val="18"/>
                <w:szCs w:val="18"/>
              </w:rPr>
            </w:pPr>
            <w:r>
              <w:drawing>
                <wp:inline distT="0" distB="0" distL="114300" distR="114300">
                  <wp:extent cx="1440180" cy="1619885"/>
                  <wp:effectExtent l="0" t="0" r="7620" b="18415"/>
                  <wp:docPr id="89095" name="图片 55304"/>
                  <wp:cNvGraphicFramePr/>
                  <a:graphic xmlns:a="http://schemas.openxmlformats.org/drawingml/2006/main">
                    <a:graphicData uri="http://schemas.openxmlformats.org/drawingml/2006/picture">
                      <pic:pic xmlns:pic="http://schemas.openxmlformats.org/drawingml/2006/picture">
                        <pic:nvPicPr>
                          <pic:cNvPr id="89095" name="图片 55304"/>
                          <pic:cNvPicPr/>
                        </pic:nvPicPr>
                        <pic:blipFill>
                          <a:blip r:embed="rId30" cstate="print"/>
                          <a:srcRect r="17989" b="11183"/>
                          <a:stretch>
                            <a:fillRect/>
                          </a:stretch>
                        </pic:blipFill>
                        <pic:spPr>
                          <a:xfrm>
                            <a:off x="0" y="0"/>
                            <a:ext cx="1440180" cy="1619885"/>
                          </a:xfrm>
                          <a:prstGeom prst="rect">
                            <a:avLst/>
                          </a:prstGeom>
                          <a:ln w="9525">
                            <a:noFill/>
                          </a:ln>
                        </pic:spPr>
                      </pic:pic>
                    </a:graphicData>
                  </a:graphic>
                </wp:inline>
              </w:drawing>
            </w:r>
          </w:p>
        </w:tc>
        <w:tc>
          <w:tcPr>
            <w:tcW w:w="1049" w:type="pct"/>
            <w:noWrap/>
            <w:vAlign w:val="center"/>
          </w:tcPr>
          <w:p w14:paraId="72EDEBE6">
            <w:pPr>
              <w:adjustRightInd/>
              <w:spacing w:line="240" w:lineRule="auto"/>
              <w:jc w:val="center"/>
              <w:rPr>
                <w:rFonts w:ascii="宋体" w:hAnsi="宋体" w:cs="宋体"/>
                <w:sz w:val="18"/>
                <w:szCs w:val="18"/>
              </w:rPr>
            </w:pPr>
            <w:r>
              <w:rPr>
                <w:rFonts w:ascii="宋体" w:hAnsi="宋体" w:cs="宋体"/>
                <w:sz w:val="18"/>
                <w:szCs w:val="18"/>
              </w:rPr>
              <w:t>10%吡虫啉可湿性粉剂</w:t>
            </w:r>
          </w:p>
          <w:p w14:paraId="2C7FD017">
            <w:pPr>
              <w:adjustRightInd/>
              <w:spacing w:line="240" w:lineRule="auto"/>
              <w:jc w:val="center"/>
              <w:rPr>
                <w:rFonts w:ascii="宋体" w:hAnsi="宋体" w:cs="宋体"/>
                <w:sz w:val="18"/>
                <w:szCs w:val="18"/>
              </w:rPr>
            </w:pPr>
          </w:p>
        </w:tc>
        <w:tc>
          <w:tcPr>
            <w:tcW w:w="771" w:type="pct"/>
            <w:noWrap/>
            <w:vAlign w:val="center"/>
          </w:tcPr>
          <w:p w14:paraId="3E5ECDCF">
            <w:pPr>
              <w:adjustRightInd/>
              <w:spacing w:line="240" w:lineRule="auto"/>
              <w:jc w:val="center"/>
              <w:rPr>
                <w:rFonts w:ascii="宋体" w:hAnsi="宋体" w:cs="宋体"/>
                <w:sz w:val="18"/>
                <w:szCs w:val="18"/>
              </w:rPr>
            </w:pPr>
            <w:r>
              <w:rPr>
                <w:rFonts w:hint="eastAsia" w:ascii="宋体" w:hAnsi="宋体" w:cs="宋体"/>
                <w:sz w:val="18"/>
                <w:szCs w:val="18"/>
              </w:rPr>
              <w:t>2 0</w:t>
            </w:r>
            <w:r>
              <w:rPr>
                <w:rFonts w:ascii="宋体" w:hAnsi="宋体" w:cs="宋体"/>
                <w:sz w:val="18"/>
                <w:szCs w:val="18"/>
              </w:rPr>
              <w:t>00～3</w:t>
            </w:r>
            <w:r>
              <w:rPr>
                <w:rFonts w:hint="eastAsia" w:ascii="宋体" w:hAnsi="宋体" w:cs="宋体"/>
                <w:sz w:val="18"/>
                <w:szCs w:val="18"/>
              </w:rPr>
              <w:t xml:space="preserve"> </w:t>
            </w:r>
            <w:r>
              <w:rPr>
                <w:rFonts w:ascii="宋体" w:hAnsi="宋体" w:cs="宋体"/>
                <w:sz w:val="18"/>
                <w:szCs w:val="18"/>
              </w:rPr>
              <w:t>0</w:t>
            </w:r>
            <w:r>
              <w:rPr>
                <w:rFonts w:hint="eastAsia" w:ascii="宋体" w:hAnsi="宋体" w:cs="宋体"/>
                <w:sz w:val="18"/>
                <w:szCs w:val="18"/>
              </w:rPr>
              <w:t>0</w:t>
            </w:r>
            <w:r>
              <w:rPr>
                <w:rFonts w:ascii="宋体" w:hAnsi="宋体" w:cs="宋体"/>
                <w:sz w:val="18"/>
                <w:szCs w:val="18"/>
              </w:rPr>
              <w:t>0倍液</w:t>
            </w:r>
          </w:p>
          <w:p w14:paraId="560A54AA">
            <w:pPr>
              <w:adjustRightInd/>
              <w:spacing w:line="240" w:lineRule="auto"/>
              <w:jc w:val="center"/>
              <w:rPr>
                <w:rFonts w:ascii="宋体" w:hAnsi="宋体" w:cs="宋体"/>
                <w:sz w:val="18"/>
                <w:szCs w:val="18"/>
              </w:rPr>
            </w:pPr>
          </w:p>
        </w:tc>
        <w:tc>
          <w:tcPr>
            <w:tcW w:w="485" w:type="pct"/>
            <w:noWrap/>
            <w:vAlign w:val="center"/>
          </w:tcPr>
          <w:p w14:paraId="655EEF1F">
            <w:pPr>
              <w:adjustRightInd/>
              <w:spacing w:line="240" w:lineRule="auto"/>
              <w:jc w:val="center"/>
              <w:rPr>
                <w:rFonts w:ascii="宋体" w:hAnsi="宋体" w:cs="宋体"/>
                <w:sz w:val="18"/>
                <w:szCs w:val="18"/>
              </w:rPr>
            </w:pPr>
            <w:r>
              <w:rPr>
                <w:rFonts w:hint="eastAsia" w:ascii="宋体" w:hAnsi="宋体" w:cs="宋体"/>
                <w:sz w:val="18"/>
                <w:szCs w:val="18"/>
              </w:rPr>
              <w:t>21 d</w:t>
            </w:r>
          </w:p>
          <w:p w14:paraId="060871A6">
            <w:pPr>
              <w:adjustRightInd/>
              <w:spacing w:line="240" w:lineRule="auto"/>
              <w:jc w:val="center"/>
              <w:rPr>
                <w:rFonts w:ascii="宋体" w:hAnsi="宋体" w:cs="宋体"/>
                <w:sz w:val="18"/>
                <w:szCs w:val="18"/>
              </w:rPr>
            </w:pPr>
          </w:p>
        </w:tc>
        <w:tc>
          <w:tcPr>
            <w:tcW w:w="871" w:type="pct"/>
            <w:noWrap/>
            <w:vAlign w:val="center"/>
          </w:tcPr>
          <w:p w14:paraId="0CFCAAAD">
            <w:pPr>
              <w:adjustRightInd/>
              <w:spacing w:line="240" w:lineRule="auto"/>
              <w:jc w:val="center"/>
              <w:rPr>
                <w:rFonts w:ascii="宋体" w:hAnsi="宋体" w:cs="宋体"/>
                <w:sz w:val="18"/>
                <w:szCs w:val="18"/>
              </w:rPr>
            </w:pPr>
            <w:r>
              <w:rPr>
                <w:rFonts w:ascii="宋体" w:hAnsi="宋体" w:cs="宋体"/>
                <w:sz w:val="18"/>
                <w:szCs w:val="18"/>
              </w:rPr>
              <w:t>低龄幼虫在韧皮下为害而尚未进入木质部时，选用吡虫啉可湿性粉剂喷涂树干；在主干发现新排粪孔时，每个排粪孔用注射器注入10 mL～20 mL</w:t>
            </w:r>
          </w:p>
          <w:p w14:paraId="542C5942">
            <w:pPr>
              <w:adjustRightInd/>
              <w:spacing w:line="240" w:lineRule="auto"/>
              <w:jc w:val="center"/>
              <w:rPr>
                <w:rFonts w:ascii="宋体" w:hAnsi="宋体" w:cs="宋体"/>
                <w:sz w:val="18"/>
                <w:szCs w:val="18"/>
              </w:rPr>
            </w:pPr>
            <w:r>
              <w:rPr>
                <w:rFonts w:ascii="宋体" w:hAnsi="宋体" w:cs="宋体"/>
                <w:sz w:val="18"/>
                <w:szCs w:val="18"/>
              </w:rPr>
              <w:t>敌敌畏乳油；按1:5比例配制石灰水或选用商品涂白剂，对树干基部向上1 m以内树体进行涂白可有效防控天牛。</w:t>
            </w:r>
          </w:p>
        </w:tc>
      </w:tr>
      <w:tr w14:paraId="7BC6DC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6" w:hRule="atLeast"/>
        </w:trPr>
        <w:tc>
          <w:tcPr>
            <w:tcW w:w="417" w:type="pct"/>
            <w:noWrap/>
            <w:vAlign w:val="center"/>
          </w:tcPr>
          <w:p w14:paraId="0CE9FA46">
            <w:pPr>
              <w:adjustRightInd/>
              <w:spacing w:line="240" w:lineRule="auto"/>
              <w:jc w:val="center"/>
              <w:rPr>
                <w:rFonts w:ascii="宋体" w:hAnsi="宋体" w:cs="宋体"/>
                <w:sz w:val="18"/>
                <w:szCs w:val="18"/>
              </w:rPr>
            </w:pPr>
            <w:r>
              <w:rPr>
                <w:rFonts w:ascii="宋体" w:hAnsi="宋体" w:cs="宋体"/>
                <w:sz w:val="18"/>
                <w:szCs w:val="18"/>
              </w:rPr>
              <w:t>金龟子</w:t>
            </w:r>
          </w:p>
        </w:tc>
        <w:tc>
          <w:tcPr>
            <w:tcW w:w="1405" w:type="pct"/>
            <w:noWrap/>
          </w:tcPr>
          <w:p w14:paraId="073316B1">
            <w:pPr>
              <w:adjustRightInd/>
              <w:spacing w:line="240" w:lineRule="auto"/>
              <w:jc w:val="center"/>
              <w:rPr>
                <w:rFonts w:ascii="宋体" w:hAnsi="宋体" w:cs="宋体"/>
                <w:sz w:val="18"/>
                <w:szCs w:val="18"/>
              </w:rPr>
            </w:pPr>
            <w:r>
              <w:rPr>
                <w:rFonts w:hint="eastAsia" w:ascii="宋体" w:hAnsi="宋体" w:cs="宋体"/>
                <w:sz w:val="18"/>
                <w:szCs w:val="18"/>
              </w:rPr>
              <w:drawing>
                <wp:inline distT="0" distB="0" distL="114300" distR="114300">
                  <wp:extent cx="1381125" cy="1529080"/>
                  <wp:effectExtent l="0" t="0" r="9525" b="13970"/>
                  <wp:docPr id="15" name="图片 15" descr="6cd8c2ca85da6129b1c5e7e336cc6bbb_t0150ffa95b4e77a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cd8c2ca85da6129b1c5e7e336cc6bbb_t0150ffa95b4e77afed"/>
                          <pic:cNvPicPr>
                            <a:picLocks noChangeAspect="1"/>
                          </pic:cNvPicPr>
                        </pic:nvPicPr>
                        <pic:blipFill>
                          <a:blip r:embed="rId31"/>
                          <a:stretch>
                            <a:fillRect/>
                          </a:stretch>
                        </pic:blipFill>
                        <pic:spPr>
                          <a:xfrm>
                            <a:off x="0" y="0"/>
                            <a:ext cx="1381125" cy="1529080"/>
                          </a:xfrm>
                          <a:prstGeom prst="rect">
                            <a:avLst/>
                          </a:prstGeom>
                        </pic:spPr>
                      </pic:pic>
                    </a:graphicData>
                  </a:graphic>
                </wp:inline>
              </w:drawing>
            </w:r>
          </w:p>
        </w:tc>
        <w:tc>
          <w:tcPr>
            <w:tcW w:w="1049" w:type="pct"/>
            <w:noWrap/>
            <w:vAlign w:val="center"/>
          </w:tcPr>
          <w:p w14:paraId="4DFA2DCF">
            <w:pPr>
              <w:adjustRightInd/>
              <w:spacing w:line="240" w:lineRule="auto"/>
              <w:jc w:val="center"/>
              <w:rPr>
                <w:rFonts w:ascii="宋体" w:hAnsi="宋体" w:cs="宋体"/>
                <w:sz w:val="18"/>
                <w:szCs w:val="18"/>
              </w:rPr>
            </w:pPr>
            <w:r>
              <w:rPr>
                <w:rFonts w:ascii="宋体" w:hAnsi="宋体" w:cs="宋体"/>
                <w:sz w:val="18"/>
                <w:szCs w:val="18"/>
              </w:rPr>
              <w:t>1%联苯·噻虫嗪颗粒剂</w:t>
            </w:r>
          </w:p>
          <w:p w14:paraId="11BC502B">
            <w:pPr>
              <w:adjustRightInd/>
              <w:spacing w:line="240" w:lineRule="auto"/>
              <w:jc w:val="center"/>
              <w:rPr>
                <w:rFonts w:ascii="宋体" w:hAnsi="宋体" w:cs="宋体"/>
                <w:sz w:val="18"/>
                <w:szCs w:val="18"/>
              </w:rPr>
            </w:pPr>
            <w:r>
              <w:rPr>
                <w:rFonts w:hint="eastAsia" w:ascii="宋体" w:hAnsi="宋体" w:cs="宋体"/>
                <w:sz w:val="18"/>
                <w:szCs w:val="18"/>
              </w:rPr>
              <w:t>10亿孢子/g金龟子绿僵菌</w:t>
            </w:r>
          </w:p>
          <w:p w14:paraId="005C3FAA">
            <w:pPr>
              <w:adjustRightInd/>
              <w:spacing w:line="240" w:lineRule="auto"/>
              <w:jc w:val="center"/>
              <w:rPr>
                <w:rFonts w:ascii="宋体" w:hAnsi="宋体" w:cs="宋体"/>
                <w:sz w:val="18"/>
                <w:szCs w:val="18"/>
              </w:rPr>
            </w:pPr>
            <w:r>
              <w:rPr>
                <w:rFonts w:ascii="宋体" w:hAnsi="宋体" w:cs="宋体"/>
                <w:sz w:val="18"/>
                <w:szCs w:val="18"/>
              </w:rPr>
              <w:t>10%吡虫啉可湿性粉剂</w:t>
            </w:r>
          </w:p>
          <w:p w14:paraId="6E031F84">
            <w:pPr>
              <w:adjustRightInd/>
              <w:spacing w:line="240" w:lineRule="auto"/>
              <w:jc w:val="center"/>
              <w:rPr>
                <w:rFonts w:ascii="宋体" w:hAnsi="宋体" w:cs="宋体"/>
                <w:sz w:val="18"/>
                <w:szCs w:val="18"/>
              </w:rPr>
            </w:pPr>
            <w:r>
              <w:rPr>
                <w:rFonts w:ascii="宋体" w:hAnsi="宋体" w:cs="宋体"/>
                <w:sz w:val="18"/>
                <w:szCs w:val="18"/>
              </w:rPr>
              <w:t>20%联苯·噻虫胺悬浮剂</w:t>
            </w:r>
          </w:p>
        </w:tc>
        <w:tc>
          <w:tcPr>
            <w:tcW w:w="771" w:type="pct"/>
            <w:noWrap/>
            <w:vAlign w:val="center"/>
          </w:tcPr>
          <w:p w14:paraId="08DD0517">
            <w:pPr>
              <w:adjustRightInd/>
              <w:spacing w:line="240" w:lineRule="auto"/>
              <w:jc w:val="center"/>
              <w:rPr>
                <w:rFonts w:ascii="宋体" w:hAnsi="宋体" w:cs="宋体"/>
                <w:sz w:val="18"/>
                <w:szCs w:val="18"/>
                <w:vertAlign w:val="superscript"/>
              </w:rPr>
            </w:pPr>
            <w:r>
              <w:rPr>
                <w:rFonts w:hint="eastAsia" w:ascii="宋体" w:hAnsi="宋体" w:cs="宋体"/>
                <w:sz w:val="18"/>
                <w:szCs w:val="18"/>
              </w:rPr>
              <w:t>6000 g</w:t>
            </w:r>
            <w:r>
              <w:rPr>
                <w:rFonts w:ascii="宋体" w:hAnsi="宋体" w:cs="宋体"/>
                <w:sz w:val="18"/>
                <w:szCs w:val="18"/>
              </w:rPr>
              <w:t>～</w:t>
            </w:r>
            <w:r>
              <w:rPr>
                <w:rFonts w:hint="eastAsia" w:ascii="宋体" w:hAnsi="宋体" w:cs="宋体"/>
                <w:sz w:val="18"/>
                <w:szCs w:val="18"/>
              </w:rPr>
              <w:t>7000 g/667.67 m</w:t>
            </w:r>
            <w:r>
              <w:rPr>
                <w:rFonts w:hint="eastAsia" w:ascii="宋体" w:hAnsi="宋体" w:cs="宋体"/>
                <w:sz w:val="18"/>
                <w:szCs w:val="18"/>
                <w:vertAlign w:val="superscript"/>
              </w:rPr>
              <w:t>2</w:t>
            </w:r>
          </w:p>
          <w:p w14:paraId="22190811">
            <w:pPr>
              <w:adjustRightInd/>
              <w:spacing w:line="240" w:lineRule="auto"/>
              <w:jc w:val="center"/>
              <w:rPr>
                <w:rFonts w:ascii="宋体" w:hAnsi="宋体" w:cs="宋体"/>
                <w:sz w:val="18"/>
                <w:szCs w:val="18"/>
                <w:vertAlign w:val="superscript"/>
              </w:rPr>
            </w:pPr>
            <w:r>
              <w:rPr>
                <w:rFonts w:hint="eastAsia" w:ascii="宋体" w:hAnsi="宋体" w:cs="宋体"/>
                <w:sz w:val="18"/>
                <w:szCs w:val="18"/>
              </w:rPr>
              <w:t>3000 g</w:t>
            </w:r>
            <w:r>
              <w:rPr>
                <w:rFonts w:ascii="宋体" w:hAnsi="宋体" w:cs="宋体"/>
                <w:sz w:val="18"/>
                <w:szCs w:val="18"/>
              </w:rPr>
              <w:t>～</w:t>
            </w:r>
            <w:r>
              <w:rPr>
                <w:rFonts w:hint="eastAsia" w:ascii="宋体" w:hAnsi="宋体" w:cs="宋体"/>
                <w:sz w:val="18"/>
                <w:szCs w:val="18"/>
              </w:rPr>
              <w:t>4000 g/667.67 m</w:t>
            </w:r>
            <w:r>
              <w:rPr>
                <w:rFonts w:hint="eastAsia" w:ascii="宋体" w:hAnsi="宋体" w:cs="宋体"/>
                <w:sz w:val="18"/>
                <w:szCs w:val="18"/>
                <w:vertAlign w:val="superscript"/>
              </w:rPr>
              <w:t>2</w:t>
            </w:r>
          </w:p>
          <w:p w14:paraId="35573D4F">
            <w:pPr>
              <w:adjustRightInd/>
              <w:spacing w:line="240" w:lineRule="auto"/>
              <w:jc w:val="center"/>
              <w:rPr>
                <w:rFonts w:ascii="宋体" w:hAnsi="宋体" w:cs="宋体"/>
                <w:sz w:val="18"/>
                <w:szCs w:val="18"/>
              </w:rPr>
            </w:pPr>
            <w:r>
              <w:rPr>
                <w:rFonts w:hint="eastAsia" w:ascii="宋体" w:hAnsi="宋体" w:cs="宋体"/>
                <w:sz w:val="18"/>
                <w:szCs w:val="18"/>
              </w:rPr>
              <w:t xml:space="preserve">2 </w:t>
            </w:r>
            <w:r>
              <w:rPr>
                <w:rFonts w:ascii="宋体" w:hAnsi="宋体" w:cs="宋体"/>
                <w:sz w:val="18"/>
                <w:szCs w:val="18"/>
              </w:rPr>
              <w:t>500倍液</w:t>
            </w:r>
          </w:p>
          <w:p w14:paraId="6ED7BDF6">
            <w:pPr>
              <w:adjustRightInd/>
              <w:spacing w:line="240" w:lineRule="auto"/>
              <w:jc w:val="center"/>
              <w:rPr>
                <w:rFonts w:ascii="宋体" w:hAnsi="宋体" w:cs="宋体"/>
                <w:sz w:val="18"/>
                <w:szCs w:val="18"/>
              </w:rPr>
            </w:pPr>
            <w:r>
              <w:rPr>
                <w:rFonts w:hint="eastAsia" w:ascii="宋体" w:hAnsi="宋体" w:cs="宋体"/>
                <w:sz w:val="18"/>
                <w:szCs w:val="18"/>
              </w:rPr>
              <w:t xml:space="preserve">2 </w:t>
            </w:r>
            <w:r>
              <w:rPr>
                <w:rFonts w:ascii="宋体" w:hAnsi="宋体" w:cs="宋体"/>
                <w:sz w:val="18"/>
                <w:szCs w:val="18"/>
              </w:rPr>
              <w:t>000倍液</w:t>
            </w:r>
          </w:p>
        </w:tc>
        <w:tc>
          <w:tcPr>
            <w:tcW w:w="485" w:type="pct"/>
            <w:noWrap/>
            <w:vAlign w:val="center"/>
          </w:tcPr>
          <w:p w14:paraId="659F8465">
            <w:pPr>
              <w:adjustRightInd/>
              <w:spacing w:line="240" w:lineRule="auto"/>
              <w:jc w:val="center"/>
              <w:rPr>
                <w:rFonts w:ascii="宋体" w:hAnsi="宋体" w:cs="宋体"/>
                <w:sz w:val="18"/>
                <w:szCs w:val="18"/>
              </w:rPr>
            </w:pPr>
            <w:r>
              <w:rPr>
                <w:rFonts w:hint="eastAsia" w:ascii="宋体" w:hAnsi="宋体" w:cs="宋体"/>
                <w:sz w:val="18"/>
                <w:szCs w:val="18"/>
              </w:rPr>
              <w:t>14 d</w:t>
            </w:r>
          </w:p>
          <w:p w14:paraId="33A7049D">
            <w:pPr>
              <w:adjustRightInd/>
              <w:spacing w:line="240" w:lineRule="auto"/>
              <w:jc w:val="center"/>
              <w:rPr>
                <w:rFonts w:ascii="宋体" w:hAnsi="宋体" w:cs="宋体"/>
                <w:sz w:val="18"/>
                <w:szCs w:val="18"/>
              </w:rPr>
            </w:pPr>
            <w:r>
              <w:rPr>
                <w:rFonts w:hint="eastAsia" w:ascii="宋体" w:hAnsi="宋体" w:cs="宋体"/>
                <w:sz w:val="18"/>
                <w:szCs w:val="18"/>
              </w:rPr>
              <w:t>21 d</w:t>
            </w:r>
          </w:p>
          <w:p w14:paraId="2968C06C">
            <w:pPr>
              <w:adjustRightInd/>
              <w:spacing w:line="240" w:lineRule="auto"/>
              <w:jc w:val="center"/>
              <w:rPr>
                <w:rFonts w:ascii="宋体" w:hAnsi="宋体" w:cs="宋体"/>
                <w:sz w:val="18"/>
                <w:szCs w:val="18"/>
              </w:rPr>
            </w:pPr>
            <w:r>
              <w:rPr>
                <w:rFonts w:hint="eastAsia" w:ascii="宋体" w:hAnsi="宋体" w:cs="宋体"/>
                <w:sz w:val="18"/>
                <w:szCs w:val="18"/>
              </w:rPr>
              <w:t>21 d</w:t>
            </w:r>
          </w:p>
          <w:p w14:paraId="32AAAA5B">
            <w:pPr>
              <w:adjustRightInd/>
              <w:spacing w:line="240" w:lineRule="auto"/>
              <w:jc w:val="center"/>
              <w:rPr>
                <w:rFonts w:ascii="宋体" w:hAnsi="宋体" w:cs="宋体"/>
                <w:sz w:val="18"/>
                <w:szCs w:val="18"/>
              </w:rPr>
            </w:pPr>
            <w:r>
              <w:rPr>
                <w:rFonts w:hint="eastAsia" w:ascii="宋体" w:hAnsi="宋体" w:cs="宋体"/>
                <w:sz w:val="18"/>
                <w:szCs w:val="18"/>
              </w:rPr>
              <w:t>35 d</w:t>
            </w:r>
          </w:p>
        </w:tc>
        <w:tc>
          <w:tcPr>
            <w:tcW w:w="871" w:type="pct"/>
            <w:noWrap/>
            <w:vAlign w:val="center"/>
          </w:tcPr>
          <w:p w14:paraId="58562499">
            <w:pPr>
              <w:adjustRightInd/>
              <w:spacing w:line="240" w:lineRule="auto"/>
              <w:jc w:val="center"/>
              <w:rPr>
                <w:rFonts w:ascii="宋体" w:hAnsi="宋体" w:cs="宋体"/>
                <w:sz w:val="18"/>
                <w:szCs w:val="18"/>
              </w:rPr>
            </w:pPr>
            <w:r>
              <w:rPr>
                <w:rFonts w:ascii="宋体" w:hAnsi="宋体" w:cs="宋体"/>
                <w:sz w:val="18"/>
                <w:szCs w:val="18"/>
              </w:rPr>
              <w:t>4月中上旬金龟子出土高峰期，选用</w:t>
            </w:r>
            <w:r>
              <w:rPr>
                <w:rFonts w:hint="eastAsia" w:ascii="宋体" w:hAnsi="宋体" w:cs="宋体"/>
                <w:sz w:val="18"/>
                <w:szCs w:val="18"/>
              </w:rPr>
              <w:t>颗粒剂兑</w:t>
            </w:r>
            <w:r>
              <w:rPr>
                <w:rFonts w:ascii="宋体" w:hAnsi="宋体" w:cs="宋体"/>
                <w:sz w:val="18"/>
                <w:szCs w:val="18"/>
              </w:rPr>
              <w:t>沙撒施于土壤表面。成虫发生盛期，下午5点以后，用</w:t>
            </w:r>
            <w:r>
              <w:rPr>
                <w:rFonts w:hint="eastAsia" w:ascii="宋体" w:hAnsi="宋体" w:cs="宋体"/>
                <w:sz w:val="18"/>
                <w:szCs w:val="18"/>
              </w:rPr>
              <w:t>后2种药剂</w:t>
            </w:r>
            <w:r>
              <w:rPr>
                <w:rFonts w:ascii="宋体" w:hAnsi="宋体" w:cs="宋体"/>
                <w:sz w:val="18"/>
                <w:szCs w:val="18"/>
              </w:rPr>
              <w:t>于花前、花后树上喷药防治。</w:t>
            </w:r>
          </w:p>
        </w:tc>
      </w:tr>
      <w:tr w14:paraId="1527E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6" w:hRule="atLeast"/>
        </w:trPr>
        <w:tc>
          <w:tcPr>
            <w:tcW w:w="417" w:type="pct"/>
            <w:noWrap/>
            <w:vAlign w:val="center"/>
          </w:tcPr>
          <w:p w14:paraId="170A8DD7">
            <w:pPr>
              <w:adjustRightInd/>
              <w:spacing w:line="240" w:lineRule="auto"/>
              <w:jc w:val="center"/>
              <w:rPr>
                <w:rFonts w:ascii="宋体" w:hAnsi="宋体" w:cs="宋体"/>
                <w:sz w:val="18"/>
                <w:szCs w:val="18"/>
              </w:rPr>
            </w:pPr>
            <w:r>
              <w:rPr>
                <w:rFonts w:ascii="宋体" w:hAnsi="宋体" w:cs="宋体"/>
                <w:sz w:val="18"/>
                <w:szCs w:val="18"/>
              </w:rPr>
              <w:t>绿鳞象甲</w:t>
            </w:r>
          </w:p>
        </w:tc>
        <w:tc>
          <w:tcPr>
            <w:tcW w:w="1405" w:type="pct"/>
            <w:noWrap/>
          </w:tcPr>
          <w:p w14:paraId="0AF02F13">
            <w:pPr>
              <w:adjustRightInd/>
              <w:spacing w:line="240" w:lineRule="auto"/>
              <w:jc w:val="center"/>
              <w:rPr>
                <w:rFonts w:ascii="宋体" w:hAnsi="宋体" w:cs="宋体"/>
                <w:sz w:val="18"/>
                <w:szCs w:val="18"/>
              </w:rPr>
            </w:pPr>
            <w:r>
              <w:rPr>
                <w:rFonts w:hint="eastAsia" w:ascii="宋体" w:hAnsi="宋体" w:cs="宋体"/>
                <w:sz w:val="18"/>
                <w:szCs w:val="18"/>
              </w:rPr>
              <w:drawing>
                <wp:inline distT="0" distB="0" distL="114300" distR="114300">
                  <wp:extent cx="1440180" cy="1619885"/>
                  <wp:effectExtent l="0" t="0" r="7620" b="18415"/>
                  <wp:docPr id="10" name="图片 10" descr="900e0dd9bc0107c2230d85ec766fefb"/>
                  <wp:cNvGraphicFramePr/>
                  <a:graphic xmlns:a="http://schemas.openxmlformats.org/drawingml/2006/main">
                    <a:graphicData uri="http://schemas.openxmlformats.org/drawingml/2006/picture">
                      <pic:pic xmlns:pic="http://schemas.openxmlformats.org/drawingml/2006/picture">
                        <pic:nvPicPr>
                          <pic:cNvPr id="10" name="图片 10" descr="900e0dd9bc0107c2230d85ec766fefb"/>
                          <pic:cNvPicPr/>
                        </pic:nvPicPr>
                        <pic:blipFill>
                          <a:blip r:embed="rId32"/>
                          <a:stretch>
                            <a:fillRect/>
                          </a:stretch>
                        </pic:blipFill>
                        <pic:spPr>
                          <a:xfrm>
                            <a:off x="0" y="0"/>
                            <a:ext cx="1440180" cy="1619885"/>
                          </a:xfrm>
                          <a:prstGeom prst="rect">
                            <a:avLst/>
                          </a:prstGeom>
                        </pic:spPr>
                      </pic:pic>
                    </a:graphicData>
                  </a:graphic>
                </wp:inline>
              </w:drawing>
            </w:r>
          </w:p>
        </w:tc>
        <w:tc>
          <w:tcPr>
            <w:tcW w:w="1049" w:type="pct"/>
            <w:noWrap/>
            <w:vAlign w:val="center"/>
          </w:tcPr>
          <w:p w14:paraId="3B4AA7B2">
            <w:pPr>
              <w:adjustRightInd/>
              <w:spacing w:line="240" w:lineRule="auto"/>
              <w:jc w:val="center"/>
              <w:rPr>
                <w:rFonts w:ascii="宋体" w:hAnsi="宋体" w:cs="宋体"/>
                <w:sz w:val="18"/>
                <w:szCs w:val="18"/>
              </w:rPr>
            </w:pPr>
            <w:r>
              <w:rPr>
                <w:rFonts w:hint="eastAsia" w:ascii="宋体" w:hAnsi="宋体" w:cs="宋体"/>
                <w:sz w:val="18"/>
                <w:szCs w:val="18"/>
              </w:rPr>
              <w:t>1</w:t>
            </w:r>
            <w:r>
              <w:rPr>
                <w:rFonts w:ascii="宋体" w:hAnsi="宋体" w:cs="宋体"/>
                <w:sz w:val="18"/>
                <w:szCs w:val="18"/>
              </w:rPr>
              <w:t>0%吡虫啉可湿性粉剂</w:t>
            </w:r>
          </w:p>
          <w:p w14:paraId="3A102F8E">
            <w:pPr>
              <w:adjustRightInd/>
              <w:spacing w:line="240" w:lineRule="auto"/>
              <w:jc w:val="center"/>
              <w:rPr>
                <w:rFonts w:ascii="宋体" w:hAnsi="宋体" w:cs="宋体"/>
                <w:sz w:val="18"/>
                <w:szCs w:val="18"/>
              </w:rPr>
            </w:pPr>
            <w:r>
              <w:rPr>
                <w:rFonts w:ascii="宋体" w:hAnsi="宋体" w:cs="宋体"/>
                <w:sz w:val="18"/>
                <w:szCs w:val="18"/>
              </w:rPr>
              <w:t>20%联苯·噻虫胺悬浮剂</w:t>
            </w:r>
          </w:p>
          <w:p w14:paraId="19FD36E6">
            <w:pPr>
              <w:adjustRightInd/>
              <w:spacing w:line="240" w:lineRule="auto"/>
              <w:jc w:val="center"/>
              <w:rPr>
                <w:rFonts w:ascii="宋体" w:hAnsi="宋体" w:cs="宋体"/>
                <w:sz w:val="18"/>
                <w:szCs w:val="18"/>
              </w:rPr>
            </w:pPr>
            <w:r>
              <w:rPr>
                <w:rFonts w:hint="eastAsia" w:ascii="宋体" w:hAnsi="宋体" w:cs="宋体"/>
                <w:sz w:val="18"/>
                <w:szCs w:val="18"/>
              </w:rPr>
              <w:t>5%</w:t>
            </w:r>
            <w:r>
              <w:rPr>
                <w:rFonts w:ascii="宋体" w:hAnsi="宋体" w:cs="宋体"/>
                <w:sz w:val="18"/>
                <w:szCs w:val="18"/>
              </w:rPr>
              <w:t>高效氯氟氰菊酯水乳剂</w:t>
            </w:r>
          </w:p>
          <w:p w14:paraId="222FE701">
            <w:pPr>
              <w:adjustRightInd/>
              <w:spacing w:line="240" w:lineRule="auto"/>
              <w:jc w:val="center"/>
              <w:rPr>
                <w:rFonts w:ascii="宋体" w:hAnsi="宋体" w:cs="宋体"/>
                <w:sz w:val="18"/>
                <w:szCs w:val="18"/>
              </w:rPr>
            </w:pPr>
            <w:r>
              <w:rPr>
                <w:rFonts w:ascii="宋体" w:hAnsi="宋体" w:cs="宋体"/>
                <w:sz w:val="18"/>
                <w:szCs w:val="18"/>
              </w:rPr>
              <w:t>1%联苯·噻虫嗪颗粒剂</w:t>
            </w:r>
          </w:p>
          <w:p w14:paraId="22BDD5DA">
            <w:pPr>
              <w:adjustRightInd/>
              <w:spacing w:line="240" w:lineRule="auto"/>
              <w:jc w:val="center"/>
              <w:rPr>
                <w:rFonts w:ascii="宋体" w:hAnsi="宋体" w:cs="宋体"/>
                <w:sz w:val="18"/>
                <w:szCs w:val="18"/>
              </w:rPr>
            </w:pPr>
            <w:r>
              <w:rPr>
                <w:rFonts w:ascii="宋体" w:hAnsi="宋体" w:cs="宋体"/>
                <w:sz w:val="18"/>
                <w:szCs w:val="18"/>
              </w:rPr>
              <w:t>0.4%氯虫苯甲酰胺颗粒剂</w:t>
            </w:r>
          </w:p>
        </w:tc>
        <w:tc>
          <w:tcPr>
            <w:tcW w:w="771" w:type="pct"/>
            <w:noWrap/>
            <w:vAlign w:val="center"/>
          </w:tcPr>
          <w:p w14:paraId="67C1C06B">
            <w:pPr>
              <w:adjustRightInd/>
              <w:spacing w:line="240" w:lineRule="auto"/>
              <w:jc w:val="center"/>
              <w:rPr>
                <w:rFonts w:ascii="宋体" w:hAnsi="宋体" w:cs="宋体"/>
                <w:sz w:val="18"/>
                <w:szCs w:val="18"/>
              </w:rPr>
            </w:pPr>
            <w:r>
              <w:rPr>
                <w:rFonts w:hint="eastAsia" w:ascii="宋体" w:hAnsi="宋体" w:cs="宋体"/>
                <w:sz w:val="18"/>
                <w:szCs w:val="18"/>
              </w:rPr>
              <w:t xml:space="preserve">2 </w:t>
            </w:r>
            <w:r>
              <w:rPr>
                <w:rFonts w:ascii="宋体" w:hAnsi="宋体" w:cs="宋体"/>
                <w:sz w:val="18"/>
                <w:szCs w:val="18"/>
              </w:rPr>
              <w:t>500倍液</w:t>
            </w:r>
          </w:p>
          <w:p w14:paraId="0EFFB9DE">
            <w:pPr>
              <w:adjustRightInd/>
              <w:spacing w:line="240" w:lineRule="auto"/>
              <w:jc w:val="center"/>
              <w:rPr>
                <w:rFonts w:ascii="宋体" w:hAnsi="宋体" w:cs="宋体"/>
                <w:sz w:val="18"/>
                <w:szCs w:val="18"/>
              </w:rPr>
            </w:pPr>
            <w:r>
              <w:rPr>
                <w:rFonts w:hint="eastAsia" w:ascii="宋体" w:hAnsi="宋体" w:cs="宋体"/>
                <w:sz w:val="18"/>
                <w:szCs w:val="18"/>
              </w:rPr>
              <w:t xml:space="preserve">2 </w:t>
            </w:r>
            <w:r>
              <w:rPr>
                <w:rFonts w:ascii="宋体" w:hAnsi="宋体" w:cs="宋体"/>
                <w:sz w:val="18"/>
                <w:szCs w:val="18"/>
              </w:rPr>
              <w:t>000倍液</w:t>
            </w:r>
          </w:p>
          <w:p w14:paraId="038A29D5">
            <w:pPr>
              <w:adjustRightInd/>
              <w:spacing w:line="240" w:lineRule="auto"/>
              <w:jc w:val="center"/>
              <w:rPr>
                <w:rFonts w:ascii="宋体" w:hAnsi="宋体" w:cs="宋体"/>
                <w:sz w:val="18"/>
                <w:szCs w:val="18"/>
              </w:rPr>
            </w:pPr>
            <w:r>
              <w:rPr>
                <w:rFonts w:hint="eastAsia" w:ascii="宋体" w:hAnsi="宋体" w:cs="宋体"/>
                <w:sz w:val="18"/>
                <w:szCs w:val="18"/>
              </w:rPr>
              <w:t>1 000</w:t>
            </w:r>
            <w:r>
              <w:rPr>
                <w:rFonts w:ascii="宋体" w:hAnsi="宋体" w:cs="宋体"/>
                <w:sz w:val="18"/>
                <w:szCs w:val="18"/>
              </w:rPr>
              <w:t>～</w:t>
            </w:r>
            <w:r>
              <w:rPr>
                <w:rFonts w:hint="eastAsia" w:ascii="宋体" w:hAnsi="宋体" w:cs="宋体"/>
                <w:sz w:val="18"/>
                <w:szCs w:val="18"/>
              </w:rPr>
              <w:t>1 500倍</w:t>
            </w:r>
          </w:p>
          <w:p w14:paraId="66737BFC">
            <w:pPr>
              <w:adjustRightInd/>
              <w:spacing w:line="240" w:lineRule="auto"/>
              <w:jc w:val="center"/>
              <w:rPr>
                <w:rFonts w:ascii="宋体" w:hAnsi="宋体" w:cs="宋体"/>
                <w:sz w:val="18"/>
                <w:szCs w:val="18"/>
                <w:vertAlign w:val="superscript"/>
              </w:rPr>
            </w:pPr>
            <w:r>
              <w:rPr>
                <w:rFonts w:hint="eastAsia" w:ascii="宋体" w:hAnsi="宋体" w:cs="宋体"/>
                <w:sz w:val="18"/>
                <w:szCs w:val="18"/>
              </w:rPr>
              <w:t>6000 g</w:t>
            </w:r>
            <w:r>
              <w:rPr>
                <w:rFonts w:ascii="宋体" w:hAnsi="宋体" w:cs="宋体"/>
                <w:sz w:val="18"/>
                <w:szCs w:val="18"/>
              </w:rPr>
              <w:t>～</w:t>
            </w:r>
            <w:r>
              <w:rPr>
                <w:rFonts w:hint="eastAsia" w:ascii="宋体" w:hAnsi="宋体" w:cs="宋体"/>
                <w:sz w:val="18"/>
                <w:szCs w:val="18"/>
              </w:rPr>
              <w:t>7000 g/667.67 m</w:t>
            </w:r>
            <w:r>
              <w:rPr>
                <w:rFonts w:hint="eastAsia" w:ascii="宋体" w:hAnsi="宋体" w:cs="宋体"/>
                <w:sz w:val="18"/>
                <w:szCs w:val="18"/>
                <w:vertAlign w:val="superscript"/>
              </w:rPr>
              <w:t>2</w:t>
            </w:r>
          </w:p>
          <w:p w14:paraId="776867CE">
            <w:pPr>
              <w:adjustRightInd/>
              <w:spacing w:line="240" w:lineRule="auto"/>
              <w:jc w:val="center"/>
              <w:rPr>
                <w:rFonts w:ascii="宋体" w:hAnsi="宋体" w:cs="宋体"/>
                <w:sz w:val="18"/>
                <w:szCs w:val="18"/>
              </w:rPr>
            </w:pPr>
            <w:r>
              <w:rPr>
                <w:rFonts w:hint="eastAsia" w:ascii="宋体" w:hAnsi="宋体" w:cs="宋体"/>
                <w:sz w:val="18"/>
                <w:szCs w:val="18"/>
              </w:rPr>
              <w:t>1500 g</w:t>
            </w:r>
            <w:r>
              <w:rPr>
                <w:rFonts w:ascii="宋体" w:hAnsi="宋体" w:cs="宋体"/>
                <w:sz w:val="18"/>
                <w:szCs w:val="18"/>
              </w:rPr>
              <w:t>～</w:t>
            </w:r>
            <w:r>
              <w:rPr>
                <w:rFonts w:hint="eastAsia" w:ascii="宋体" w:hAnsi="宋体" w:cs="宋体"/>
                <w:sz w:val="18"/>
                <w:szCs w:val="18"/>
              </w:rPr>
              <w:t>1800g/667.67 m</w:t>
            </w:r>
            <w:r>
              <w:rPr>
                <w:rFonts w:hint="eastAsia" w:ascii="宋体" w:hAnsi="宋体" w:cs="宋体"/>
                <w:sz w:val="18"/>
                <w:szCs w:val="18"/>
                <w:vertAlign w:val="superscript"/>
              </w:rPr>
              <w:t>2</w:t>
            </w:r>
          </w:p>
        </w:tc>
        <w:tc>
          <w:tcPr>
            <w:tcW w:w="485" w:type="pct"/>
            <w:noWrap/>
            <w:vAlign w:val="center"/>
          </w:tcPr>
          <w:p w14:paraId="7B63544D">
            <w:pPr>
              <w:adjustRightInd/>
              <w:spacing w:line="240" w:lineRule="auto"/>
              <w:jc w:val="center"/>
              <w:rPr>
                <w:rFonts w:ascii="宋体" w:hAnsi="宋体" w:cs="宋体"/>
                <w:sz w:val="18"/>
                <w:szCs w:val="18"/>
              </w:rPr>
            </w:pPr>
            <w:r>
              <w:rPr>
                <w:rFonts w:hint="eastAsia" w:ascii="宋体" w:hAnsi="宋体" w:cs="宋体"/>
                <w:sz w:val="18"/>
                <w:szCs w:val="18"/>
              </w:rPr>
              <w:t>21 d</w:t>
            </w:r>
          </w:p>
          <w:p w14:paraId="2CA60197">
            <w:pPr>
              <w:adjustRightInd/>
              <w:spacing w:line="240" w:lineRule="auto"/>
              <w:jc w:val="center"/>
              <w:rPr>
                <w:rFonts w:ascii="宋体" w:hAnsi="宋体" w:cs="宋体"/>
                <w:sz w:val="18"/>
                <w:szCs w:val="18"/>
              </w:rPr>
            </w:pPr>
            <w:r>
              <w:rPr>
                <w:rFonts w:hint="eastAsia" w:ascii="宋体" w:hAnsi="宋体" w:cs="宋体"/>
                <w:sz w:val="18"/>
                <w:szCs w:val="18"/>
              </w:rPr>
              <w:t>35 d</w:t>
            </w:r>
          </w:p>
          <w:p w14:paraId="7797BBD1">
            <w:pPr>
              <w:adjustRightInd/>
              <w:spacing w:line="240" w:lineRule="auto"/>
              <w:jc w:val="center"/>
              <w:rPr>
                <w:rFonts w:ascii="宋体" w:hAnsi="宋体" w:cs="宋体"/>
                <w:sz w:val="18"/>
                <w:szCs w:val="18"/>
              </w:rPr>
            </w:pPr>
            <w:r>
              <w:rPr>
                <w:rFonts w:hint="eastAsia" w:ascii="宋体" w:hAnsi="宋体" w:cs="宋体"/>
                <w:sz w:val="18"/>
                <w:szCs w:val="18"/>
              </w:rPr>
              <w:t>14 d</w:t>
            </w:r>
          </w:p>
          <w:p w14:paraId="130D4973">
            <w:pPr>
              <w:adjustRightInd/>
              <w:spacing w:line="240" w:lineRule="auto"/>
              <w:jc w:val="center"/>
              <w:rPr>
                <w:rFonts w:ascii="宋体" w:hAnsi="宋体" w:cs="宋体"/>
                <w:sz w:val="18"/>
                <w:szCs w:val="18"/>
              </w:rPr>
            </w:pPr>
            <w:r>
              <w:rPr>
                <w:rFonts w:hint="eastAsia" w:ascii="宋体" w:hAnsi="宋体" w:cs="宋体"/>
                <w:sz w:val="18"/>
                <w:szCs w:val="18"/>
              </w:rPr>
              <w:t>14 d</w:t>
            </w:r>
          </w:p>
          <w:p w14:paraId="7FC77274">
            <w:pPr>
              <w:adjustRightInd/>
              <w:spacing w:line="240" w:lineRule="auto"/>
              <w:jc w:val="center"/>
              <w:rPr>
                <w:rFonts w:ascii="宋体" w:hAnsi="宋体" w:cs="宋体"/>
                <w:sz w:val="18"/>
                <w:szCs w:val="18"/>
              </w:rPr>
            </w:pPr>
            <w:r>
              <w:rPr>
                <w:rFonts w:hint="eastAsia" w:ascii="宋体" w:hAnsi="宋体" w:cs="宋体"/>
                <w:sz w:val="18"/>
                <w:szCs w:val="18"/>
              </w:rPr>
              <w:t>21 d</w:t>
            </w:r>
          </w:p>
        </w:tc>
        <w:tc>
          <w:tcPr>
            <w:tcW w:w="871" w:type="pct"/>
            <w:noWrap/>
            <w:vAlign w:val="center"/>
          </w:tcPr>
          <w:p w14:paraId="217EB664">
            <w:pPr>
              <w:adjustRightInd/>
              <w:spacing w:line="240" w:lineRule="auto"/>
              <w:jc w:val="center"/>
              <w:rPr>
                <w:rFonts w:ascii="宋体" w:hAnsi="宋体" w:cs="宋体"/>
                <w:sz w:val="18"/>
                <w:szCs w:val="18"/>
              </w:rPr>
            </w:pPr>
            <w:r>
              <w:rPr>
                <w:rFonts w:ascii="宋体" w:hAnsi="宋体" w:cs="宋体"/>
                <w:sz w:val="18"/>
                <w:szCs w:val="18"/>
              </w:rPr>
              <w:t>成虫发生盛期，下午5点以后，用于</w:t>
            </w:r>
            <w:r>
              <w:rPr>
                <w:rFonts w:hint="eastAsia" w:ascii="宋体" w:hAnsi="宋体" w:cs="宋体"/>
                <w:sz w:val="18"/>
                <w:szCs w:val="18"/>
              </w:rPr>
              <w:t>前2种药剂于</w:t>
            </w:r>
            <w:r>
              <w:rPr>
                <w:rFonts w:ascii="宋体" w:hAnsi="宋体" w:cs="宋体"/>
                <w:sz w:val="18"/>
                <w:szCs w:val="18"/>
              </w:rPr>
              <w:t>花前、花后树上喷药防治。出土高峰期，</w:t>
            </w:r>
            <w:r>
              <w:rPr>
                <w:rFonts w:hint="eastAsia" w:ascii="宋体" w:hAnsi="宋体" w:cs="宋体"/>
                <w:sz w:val="18"/>
                <w:szCs w:val="18"/>
              </w:rPr>
              <w:t>选</w:t>
            </w:r>
            <w:r>
              <w:rPr>
                <w:rFonts w:ascii="宋体" w:hAnsi="宋体" w:cs="宋体"/>
                <w:sz w:val="18"/>
                <w:szCs w:val="18"/>
              </w:rPr>
              <w:t>用乳剂喷</w:t>
            </w:r>
            <w:r>
              <w:rPr>
                <w:rFonts w:hint="eastAsia" w:ascii="宋体" w:hAnsi="宋体" w:cs="宋体"/>
                <w:sz w:val="18"/>
                <w:szCs w:val="18"/>
              </w:rPr>
              <w:t>雾叶面</w:t>
            </w:r>
            <w:r>
              <w:rPr>
                <w:rFonts w:ascii="宋体" w:hAnsi="宋体" w:cs="宋体"/>
                <w:sz w:val="18"/>
                <w:szCs w:val="18"/>
              </w:rPr>
              <w:t>，或选用颗粒剂兑沙撒施于土壤表面。</w:t>
            </w:r>
          </w:p>
        </w:tc>
      </w:tr>
      <w:tr w14:paraId="0B7B85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6" w:hRule="atLeast"/>
        </w:trPr>
        <w:tc>
          <w:tcPr>
            <w:tcW w:w="417" w:type="pct"/>
            <w:noWrap/>
            <w:vAlign w:val="center"/>
          </w:tcPr>
          <w:p w14:paraId="365683BF">
            <w:pPr>
              <w:adjustRightInd/>
              <w:spacing w:line="240" w:lineRule="auto"/>
              <w:jc w:val="center"/>
              <w:rPr>
                <w:rFonts w:ascii="宋体" w:hAnsi="宋体" w:cs="宋体"/>
                <w:sz w:val="18"/>
                <w:szCs w:val="18"/>
              </w:rPr>
            </w:pPr>
            <w:r>
              <w:rPr>
                <w:rFonts w:ascii="宋体" w:hAnsi="宋体" w:cs="宋体"/>
                <w:sz w:val="18"/>
                <w:szCs w:val="18"/>
              </w:rPr>
              <w:t>吹绵蚧</w:t>
            </w:r>
          </w:p>
        </w:tc>
        <w:tc>
          <w:tcPr>
            <w:tcW w:w="1405" w:type="pct"/>
            <w:noWrap/>
          </w:tcPr>
          <w:p w14:paraId="300901B1">
            <w:pPr>
              <w:adjustRightInd/>
              <w:spacing w:line="240" w:lineRule="auto"/>
              <w:jc w:val="center"/>
              <w:rPr>
                <w:rFonts w:ascii="宋体" w:hAnsi="宋体" w:cs="宋体"/>
                <w:sz w:val="18"/>
                <w:szCs w:val="18"/>
              </w:rPr>
            </w:pPr>
            <w:r>
              <w:drawing>
                <wp:inline distT="0" distB="0" distL="114935" distR="114935">
                  <wp:extent cx="1440180" cy="1619885"/>
                  <wp:effectExtent l="0" t="0" r="7620" b="18415"/>
                  <wp:docPr id="91143" name="图片 57349" descr="蚧壳虫危害果"/>
                  <wp:cNvGraphicFramePr/>
                  <a:graphic xmlns:a="http://schemas.openxmlformats.org/drawingml/2006/main">
                    <a:graphicData uri="http://schemas.openxmlformats.org/drawingml/2006/picture">
                      <pic:pic xmlns:pic="http://schemas.openxmlformats.org/drawingml/2006/picture">
                        <pic:nvPicPr>
                          <pic:cNvPr id="91143" name="图片 57349" descr="蚧壳虫危害果"/>
                          <pic:cNvPicPr/>
                        </pic:nvPicPr>
                        <pic:blipFill>
                          <a:blip r:embed="rId25" cstate="print"/>
                          <a:srcRect r="20336" b="13681"/>
                          <a:stretch>
                            <a:fillRect/>
                          </a:stretch>
                        </pic:blipFill>
                        <pic:spPr>
                          <a:xfrm>
                            <a:off x="0" y="0"/>
                            <a:ext cx="1440180" cy="1619885"/>
                          </a:xfrm>
                          <a:prstGeom prst="rect">
                            <a:avLst/>
                          </a:prstGeom>
                          <a:ln w="9525">
                            <a:noFill/>
                          </a:ln>
                        </pic:spPr>
                      </pic:pic>
                    </a:graphicData>
                  </a:graphic>
                </wp:inline>
              </w:drawing>
            </w:r>
          </w:p>
        </w:tc>
        <w:tc>
          <w:tcPr>
            <w:tcW w:w="1049" w:type="pct"/>
            <w:noWrap/>
            <w:vAlign w:val="center"/>
          </w:tcPr>
          <w:p w14:paraId="6492ABD4">
            <w:pPr>
              <w:adjustRightInd/>
              <w:spacing w:line="240" w:lineRule="auto"/>
              <w:jc w:val="center"/>
              <w:rPr>
                <w:rFonts w:ascii="宋体" w:hAnsi="宋体" w:cs="宋体"/>
                <w:sz w:val="18"/>
                <w:szCs w:val="18"/>
              </w:rPr>
            </w:pPr>
            <w:r>
              <w:rPr>
                <w:rFonts w:ascii="宋体" w:hAnsi="宋体" w:cs="宋体"/>
                <w:sz w:val="18"/>
                <w:szCs w:val="18"/>
              </w:rPr>
              <w:t>10%吡丙醚乳油</w:t>
            </w:r>
          </w:p>
          <w:p w14:paraId="69D6DD9F">
            <w:pPr>
              <w:adjustRightInd/>
              <w:spacing w:line="240" w:lineRule="auto"/>
              <w:jc w:val="center"/>
              <w:rPr>
                <w:rFonts w:ascii="宋体" w:hAnsi="宋体" w:cs="宋体"/>
                <w:sz w:val="18"/>
                <w:szCs w:val="18"/>
              </w:rPr>
            </w:pPr>
            <w:r>
              <w:rPr>
                <w:rFonts w:ascii="宋体" w:hAnsi="宋体" w:cs="宋体"/>
                <w:sz w:val="18"/>
                <w:szCs w:val="18"/>
              </w:rPr>
              <w:t>22%氟啶虫胺腈悬浮剂</w:t>
            </w:r>
          </w:p>
          <w:p w14:paraId="73011565">
            <w:pPr>
              <w:adjustRightInd/>
              <w:spacing w:line="240" w:lineRule="auto"/>
              <w:jc w:val="center"/>
              <w:rPr>
                <w:rFonts w:ascii="宋体" w:hAnsi="宋体" w:cs="宋体"/>
                <w:sz w:val="18"/>
                <w:szCs w:val="18"/>
              </w:rPr>
            </w:pPr>
            <w:r>
              <w:rPr>
                <w:rFonts w:hint="eastAsia" w:ascii="宋体" w:hAnsi="宋体" w:cs="宋体"/>
                <w:sz w:val="18"/>
                <w:szCs w:val="18"/>
              </w:rPr>
              <w:t>97%</w:t>
            </w:r>
            <w:r>
              <w:rPr>
                <w:rFonts w:ascii="宋体" w:hAnsi="宋体" w:cs="宋体"/>
                <w:sz w:val="18"/>
                <w:szCs w:val="18"/>
              </w:rPr>
              <w:t>矿物油</w:t>
            </w:r>
          </w:p>
        </w:tc>
        <w:tc>
          <w:tcPr>
            <w:tcW w:w="771" w:type="pct"/>
            <w:noWrap/>
            <w:vAlign w:val="center"/>
          </w:tcPr>
          <w:p w14:paraId="0B9EAE78">
            <w:pPr>
              <w:adjustRightInd/>
              <w:spacing w:line="240" w:lineRule="auto"/>
              <w:jc w:val="center"/>
              <w:rPr>
                <w:rFonts w:ascii="宋体" w:hAnsi="宋体" w:cs="宋体"/>
                <w:sz w:val="18"/>
                <w:szCs w:val="18"/>
              </w:rPr>
            </w:pPr>
            <w:r>
              <w:rPr>
                <w:rFonts w:ascii="宋体" w:hAnsi="宋体" w:cs="宋体"/>
                <w:sz w:val="18"/>
                <w:szCs w:val="18"/>
              </w:rPr>
              <w:t>1</w:t>
            </w:r>
            <w:r>
              <w:rPr>
                <w:rFonts w:hint="eastAsia" w:ascii="宋体" w:hAnsi="宋体" w:cs="宋体"/>
                <w:sz w:val="18"/>
                <w:szCs w:val="18"/>
              </w:rPr>
              <w:t xml:space="preserve"> </w:t>
            </w:r>
            <w:r>
              <w:rPr>
                <w:rFonts w:ascii="宋体" w:hAnsi="宋体" w:cs="宋体"/>
                <w:sz w:val="18"/>
                <w:szCs w:val="18"/>
              </w:rPr>
              <w:t>000倍</w:t>
            </w:r>
          </w:p>
          <w:p w14:paraId="6197DEEC">
            <w:pPr>
              <w:adjustRightInd/>
              <w:spacing w:line="240" w:lineRule="auto"/>
              <w:jc w:val="center"/>
              <w:rPr>
                <w:rFonts w:ascii="宋体" w:hAnsi="宋体" w:cs="宋体"/>
                <w:sz w:val="18"/>
                <w:szCs w:val="18"/>
              </w:rPr>
            </w:pPr>
            <w:r>
              <w:rPr>
                <w:rFonts w:ascii="宋体" w:hAnsi="宋体" w:cs="宋体"/>
                <w:sz w:val="18"/>
                <w:szCs w:val="18"/>
              </w:rPr>
              <w:t>1</w:t>
            </w:r>
            <w:r>
              <w:rPr>
                <w:rFonts w:hint="eastAsia" w:ascii="宋体" w:hAnsi="宋体" w:cs="宋体"/>
                <w:sz w:val="18"/>
                <w:szCs w:val="18"/>
              </w:rPr>
              <w:t xml:space="preserve"> </w:t>
            </w:r>
            <w:r>
              <w:rPr>
                <w:rFonts w:ascii="宋体" w:hAnsi="宋体" w:cs="宋体"/>
                <w:sz w:val="18"/>
                <w:szCs w:val="18"/>
              </w:rPr>
              <w:t>500倍液</w:t>
            </w:r>
          </w:p>
          <w:p w14:paraId="1A4FFFD1">
            <w:pPr>
              <w:adjustRightInd/>
              <w:spacing w:line="240" w:lineRule="auto"/>
              <w:jc w:val="center"/>
              <w:rPr>
                <w:rFonts w:ascii="宋体" w:hAnsi="宋体" w:cs="宋体"/>
                <w:sz w:val="18"/>
                <w:szCs w:val="18"/>
              </w:rPr>
            </w:pPr>
            <w:r>
              <w:rPr>
                <w:rFonts w:ascii="宋体" w:hAnsi="宋体" w:cs="宋体"/>
                <w:sz w:val="18"/>
                <w:szCs w:val="18"/>
              </w:rPr>
              <w:t>100～200倍</w:t>
            </w:r>
          </w:p>
        </w:tc>
        <w:tc>
          <w:tcPr>
            <w:tcW w:w="485" w:type="pct"/>
            <w:noWrap/>
            <w:vAlign w:val="center"/>
          </w:tcPr>
          <w:p w14:paraId="0A15C6FA">
            <w:pPr>
              <w:adjustRightInd/>
              <w:spacing w:line="240" w:lineRule="auto"/>
              <w:jc w:val="center"/>
              <w:rPr>
                <w:rFonts w:ascii="宋体" w:hAnsi="宋体" w:cs="宋体"/>
                <w:sz w:val="18"/>
                <w:szCs w:val="18"/>
              </w:rPr>
            </w:pPr>
            <w:r>
              <w:rPr>
                <w:rFonts w:hint="eastAsia" w:ascii="宋体" w:hAnsi="宋体" w:cs="宋体"/>
                <w:sz w:val="18"/>
                <w:szCs w:val="18"/>
              </w:rPr>
              <w:t>5 d</w:t>
            </w:r>
          </w:p>
          <w:p w14:paraId="007F1454">
            <w:pPr>
              <w:adjustRightInd/>
              <w:spacing w:line="240" w:lineRule="auto"/>
              <w:jc w:val="center"/>
              <w:rPr>
                <w:rFonts w:ascii="宋体" w:hAnsi="宋体" w:cs="宋体"/>
                <w:sz w:val="18"/>
                <w:szCs w:val="18"/>
              </w:rPr>
            </w:pPr>
            <w:r>
              <w:rPr>
                <w:rFonts w:hint="eastAsia" w:ascii="宋体" w:hAnsi="宋体" w:cs="宋体"/>
                <w:sz w:val="18"/>
                <w:szCs w:val="18"/>
              </w:rPr>
              <w:t>14 d</w:t>
            </w:r>
          </w:p>
          <w:p w14:paraId="263B9423">
            <w:pPr>
              <w:adjustRightInd/>
              <w:spacing w:line="240" w:lineRule="auto"/>
              <w:jc w:val="center"/>
              <w:rPr>
                <w:rFonts w:ascii="宋体" w:hAnsi="宋体" w:cs="宋体"/>
                <w:sz w:val="18"/>
                <w:szCs w:val="18"/>
              </w:rPr>
            </w:pPr>
            <w:r>
              <w:rPr>
                <w:rFonts w:hint="eastAsia" w:ascii="宋体" w:hAnsi="宋体" w:cs="宋体"/>
                <w:sz w:val="18"/>
                <w:szCs w:val="18"/>
              </w:rPr>
              <w:t>21 d</w:t>
            </w:r>
          </w:p>
        </w:tc>
        <w:tc>
          <w:tcPr>
            <w:tcW w:w="871" w:type="pct"/>
            <w:noWrap/>
            <w:vAlign w:val="center"/>
          </w:tcPr>
          <w:p w14:paraId="56AED057">
            <w:pPr>
              <w:adjustRightInd/>
              <w:spacing w:line="240" w:lineRule="auto"/>
              <w:jc w:val="center"/>
              <w:rPr>
                <w:rFonts w:ascii="宋体" w:hAnsi="宋体" w:cs="宋体"/>
                <w:sz w:val="18"/>
                <w:szCs w:val="18"/>
              </w:rPr>
            </w:pPr>
            <w:r>
              <w:rPr>
                <w:rFonts w:ascii="宋体" w:hAnsi="宋体" w:cs="宋体"/>
                <w:sz w:val="18"/>
                <w:szCs w:val="18"/>
              </w:rPr>
              <w:t>初孵若虫分散转移期，喷雾防治，每隔14 d左右喷1次，连续喷3～4次。</w:t>
            </w:r>
          </w:p>
        </w:tc>
      </w:tr>
      <w:bookmarkEnd w:id="233"/>
    </w:tbl>
    <w:p w14:paraId="1CCA5E60">
      <w:pPr>
        <w:pStyle w:val="78"/>
        <w:numPr>
          <w:ilvl w:val="0"/>
          <w:numId w:val="0"/>
        </w:numPr>
        <w:spacing w:before="60" w:after="120"/>
        <w:rPr>
          <w:rFonts w:hAnsi="Calibri"/>
        </w:rPr>
      </w:pPr>
      <w:r>
        <w:rPr>
          <w:rFonts w:hint="eastAsia"/>
        </w:rPr>
        <w:br w:type="page"/>
      </w:r>
      <w:bookmarkStart w:id="236" w:name="_Toc5763"/>
      <w:bookmarkStart w:id="237" w:name="_Toc15954"/>
      <w:r>
        <w:rPr>
          <w:rFonts w:hint="eastAsia" w:hAnsi="Calibri"/>
        </w:rPr>
        <w:t>附</w:t>
      </w:r>
      <w:r>
        <w:rPr>
          <w:rFonts w:hint="eastAsia" w:hAnsi="Calibri"/>
          <w:lang w:eastAsia="zh-CN"/>
        </w:rPr>
        <w:t xml:space="preserve"> </w:t>
      </w:r>
      <w:r>
        <w:rPr>
          <w:rFonts w:hint="eastAsia" w:hAnsi="Calibri"/>
        </w:rPr>
        <w:t>录</w:t>
      </w:r>
      <w:r>
        <w:rPr>
          <w:rFonts w:hint="eastAsia" w:hAnsi="Calibri"/>
          <w:lang w:eastAsia="zh-CN"/>
        </w:rPr>
        <w:t xml:space="preserve"> </w:t>
      </w:r>
      <w:r>
        <w:rPr>
          <w:rFonts w:hint="eastAsia" w:hAnsi="Calibri"/>
        </w:rPr>
        <w:t>E</w:t>
      </w:r>
      <w:bookmarkEnd w:id="236"/>
    </w:p>
    <w:p w14:paraId="1A93577A">
      <w:pPr>
        <w:pStyle w:val="78"/>
        <w:numPr>
          <w:ilvl w:val="0"/>
          <w:numId w:val="0"/>
        </w:numPr>
        <w:spacing w:before="60" w:after="120"/>
      </w:pPr>
      <w:bookmarkStart w:id="238" w:name="_Toc13615"/>
      <w:r>
        <w:rPr>
          <w:rFonts w:hint="eastAsia"/>
        </w:rPr>
        <w:t>（资料性）</w:t>
      </w:r>
      <w:bookmarkEnd w:id="238"/>
    </w:p>
    <w:p w14:paraId="218FAB8E">
      <w:pPr>
        <w:pStyle w:val="78"/>
        <w:numPr>
          <w:ilvl w:val="0"/>
          <w:numId w:val="0"/>
        </w:numPr>
        <w:spacing w:before="60" w:after="120"/>
        <w:ind w:firstLine="3570" w:firstLineChars="1700"/>
        <w:jc w:val="left"/>
      </w:pPr>
      <w:bookmarkStart w:id="239" w:name="_Toc11190"/>
      <w:r>
        <w:rPr>
          <w:rFonts w:hint="eastAsia"/>
        </w:rPr>
        <w:t>菠萝蜜感官检验记录表</w:t>
      </w:r>
      <w:bookmarkEnd w:id="239"/>
    </w:p>
    <w:p w14:paraId="6EB8E7A9">
      <w:pPr>
        <w:pStyle w:val="80"/>
        <w:numPr>
          <w:ilvl w:val="1"/>
          <w:numId w:val="0"/>
        </w:numPr>
        <w:spacing w:before="120" w:after="120"/>
        <w:outlineLvl w:val="9"/>
        <w:rPr>
          <w:rFonts w:hint="eastAsia"/>
        </w:rPr>
      </w:pPr>
      <w:r>
        <w:rPr>
          <w:rFonts w:hint="eastAsia"/>
          <w:lang w:val="en-US" w:eastAsia="zh-CN"/>
        </w:rPr>
        <w:t>E</w:t>
      </w:r>
      <w:r>
        <w:rPr>
          <w:rFonts w:hint="eastAsia"/>
        </w:rPr>
        <w:t>　菠萝蜜感官检验记录表</w:t>
      </w:r>
    </w:p>
    <w:p w14:paraId="1FB51DF6">
      <w:pPr>
        <w:pStyle w:val="58"/>
        <w:spacing w:before="120" w:beforeLines="50" w:after="120" w:afterLines="50"/>
        <w:ind w:firstLine="420"/>
      </w:pPr>
      <w:r>
        <w:rPr>
          <w:rFonts w:hint="eastAsia"/>
        </w:rPr>
        <w:t>菠萝蜜感官检验记录，详见表E。</w:t>
      </w:r>
    </w:p>
    <w:p w14:paraId="024B22C3">
      <w:pPr>
        <w:pStyle w:val="78"/>
        <w:numPr>
          <w:ilvl w:val="0"/>
          <w:numId w:val="0"/>
        </w:numPr>
        <w:spacing w:before="0" w:after="0" w:afterLines="0"/>
        <w:outlineLvl w:val="9"/>
      </w:pPr>
      <w:r>
        <w:rPr>
          <w:rFonts w:hint="eastAsia"/>
        </w:rPr>
        <w:t>表E 菠萝蜜感官检验记录表</w:t>
      </w:r>
    </w:p>
    <w:p w14:paraId="178155C1">
      <w:pPr>
        <w:pStyle w:val="58"/>
        <w:ind w:firstLine="360"/>
        <w:rPr>
          <w:sz w:val="18"/>
          <w:szCs w:val="18"/>
        </w:rPr>
      </w:pPr>
      <w:r>
        <w:rPr>
          <w:rFonts w:hint="eastAsia"/>
          <w:sz w:val="18"/>
          <w:szCs w:val="18"/>
        </w:rPr>
        <w:t>检验批次号：</w:t>
      </w:r>
      <w:r>
        <w:rPr>
          <w:rFonts w:hint="eastAsia"/>
          <w:sz w:val="18"/>
          <w:szCs w:val="18"/>
          <w:lang w:eastAsia="zh-CN"/>
        </w:rPr>
        <w:t xml:space="preserve">               </w:t>
      </w:r>
      <w:r>
        <w:rPr>
          <w:rFonts w:hint="eastAsia"/>
          <w:sz w:val="18"/>
          <w:szCs w:val="18"/>
        </w:rPr>
        <w:t xml:space="preserve"> 检验员：</w:t>
      </w:r>
      <w:r>
        <w:rPr>
          <w:rFonts w:hint="eastAsia"/>
          <w:sz w:val="18"/>
          <w:szCs w:val="18"/>
          <w:lang w:eastAsia="zh-CN"/>
        </w:rPr>
        <w:t xml:space="preserve">         </w:t>
      </w:r>
      <w:r>
        <w:rPr>
          <w:rFonts w:hint="eastAsia"/>
          <w:sz w:val="18"/>
          <w:szCs w:val="18"/>
        </w:rPr>
        <w:t xml:space="preserve"> 记录日期：</w:t>
      </w:r>
    </w:p>
    <w:tbl>
      <w:tblPr>
        <w:tblStyle w:val="28"/>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
        <w:gridCol w:w="796"/>
        <w:gridCol w:w="796"/>
        <w:gridCol w:w="796"/>
        <w:gridCol w:w="675"/>
        <w:gridCol w:w="476"/>
        <w:gridCol w:w="924"/>
        <w:gridCol w:w="626"/>
        <w:gridCol w:w="677"/>
        <w:gridCol w:w="677"/>
        <w:gridCol w:w="677"/>
        <w:gridCol w:w="677"/>
        <w:gridCol w:w="683"/>
        <w:gridCol w:w="684"/>
      </w:tblGrid>
      <w:tr w14:paraId="13B6F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07" w:type="pct"/>
            <w:vAlign w:val="center"/>
          </w:tcPr>
          <w:p w14:paraId="57C38875">
            <w:pPr>
              <w:pStyle w:val="180"/>
              <w:rPr>
                <w:rFonts w:ascii="Times New Roman"/>
                <w:szCs w:val="21"/>
              </w:rPr>
            </w:pPr>
            <w:r>
              <w:rPr>
                <w:rFonts w:hint="eastAsia" w:ascii="Times New Roman"/>
                <w:szCs w:val="21"/>
              </w:rPr>
              <w:t>序号</w:t>
            </w:r>
          </w:p>
        </w:tc>
        <w:tc>
          <w:tcPr>
            <w:tcW w:w="416" w:type="pct"/>
            <w:vAlign w:val="center"/>
          </w:tcPr>
          <w:p w14:paraId="0356DBF5">
            <w:pPr>
              <w:pStyle w:val="180"/>
              <w:rPr>
                <w:rFonts w:ascii="Times New Roman"/>
                <w:szCs w:val="21"/>
              </w:rPr>
            </w:pPr>
            <w:r>
              <w:rPr>
                <w:rFonts w:hint="eastAsia" w:ascii="Times New Roman"/>
                <w:szCs w:val="21"/>
              </w:rPr>
              <w:t>果实纵径（cm）</w:t>
            </w:r>
          </w:p>
        </w:tc>
        <w:tc>
          <w:tcPr>
            <w:tcW w:w="416" w:type="pct"/>
            <w:vAlign w:val="center"/>
          </w:tcPr>
          <w:p w14:paraId="3640E540">
            <w:pPr>
              <w:pStyle w:val="180"/>
              <w:rPr>
                <w:rFonts w:ascii="Times New Roman"/>
                <w:szCs w:val="21"/>
              </w:rPr>
            </w:pPr>
            <w:r>
              <w:rPr>
                <w:rFonts w:hint="eastAsia" w:ascii="Times New Roman"/>
                <w:szCs w:val="21"/>
              </w:rPr>
              <w:t>果实横径（cm）</w:t>
            </w:r>
          </w:p>
        </w:tc>
        <w:tc>
          <w:tcPr>
            <w:tcW w:w="416" w:type="pct"/>
            <w:vAlign w:val="center"/>
          </w:tcPr>
          <w:p w14:paraId="72A79845">
            <w:pPr>
              <w:pStyle w:val="180"/>
              <w:rPr>
                <w:rFonts w:ascii="Times New Roman"/>
                <w:szCs w:val="21"/>
              </w:rPr>
            </w:pPr>
            <w:r>
              <w:rPr>
                <w:rFonts w:hint="eastAsia" w:ascii="Times New Roman"/>
                <w:szCs w:val="21"/>
              </w:rPr>
              <w:t>果轴长度（cm）</w:t>
            </w:r>
          </w:p>
        </w:tc>
        <w:tc>
          <w:tcPr>
            <w:tcW w:w="353" w:type="pct"/>
            <w:vAlign w:val="center"/>
          </w:tcPr>
          <w:p w14:paraId="22898EF9">
            <w:pPr>
              <w:pStyle w:val="180"/>
              <w:rPr>
                <w:rFonts w:ascii="Times New Roman"/>
                <w:szCs w:val="21"/>
              </w:rPr>
            </w:pPr>
            <w:r>
              <w:rPr>
                <w:rFonts w:hint="eastAsia" w:ascii="Times New Roman"/>
                <w:szCs w:val="21"/>
              </w:rPr>
              <w:t>果实</w:t>
            </w:r>
          </w:p>
          <w:p w14:paraId="123E9C55">
            <w:pPr>
              <w:pStyle w:val="180"/>
              <w:rPr>
                <w:rFonts w:ascii="Times New Roman"/>
                <w:szCs w:val="21"/>
              </w:rPr>
            </w:pPr>
            <w:r>
              <w:rPr>
                <w:rFonts w:hint="eastAsia" w:ascii="Times New Roman"/>
                <w:szCs w:val="21"/>
              </w:rPr>
              <w:t>形状</w:t>
            </w:r>
          </w:p>
        </w:tc>
        <w:tc>
          <w:tcPr>
            <w:tcW w:w="249" w:type="pct"/>
            <w:vAlign w:val="center"/>
          </w:tcPr>
          <w:p w14:paraId="0700335D">
            <w:pPr>
              <w:pStyle w:val="180"/>
              <w:rPr>
                <w:rFonts w:ascii="Times New Roman"/>
                <w:szCs w:val="21"/>
              </w:rPr>
            </w:pPr>
            <w:r>
              <w:rPr>
                <w:rFonts w:hint="eastAsia" w:ascii="Times New Roman"/>
                <w:szCs w:val="21"/>
              </w:rPr>
              <w:t>果实</w:t>
            </w:r>
          </w:p>
          <w:p w14:paraId="2DBF1907">
            <w:pPr>
              <w:pStyle w:val="180"/>
              <w:rPr>
                <w:rFonts w:ascii="Times New Roman"/>
                <w:szCs w:val="21"/>
              </w:rPr>
            </w:pPr>
            <w:r>
              <w:rPr>
                <w:rFonts w:hint="eastAsia" w:ascii="Times New Roman"/>
                <w:szCs w:val="21"/>
              </w:rPr>
              <w:t>色泽</w:t>
            </w:r>
          </w:p>
        </w:tc>
        <w:tc>
          <w:tcPr>
            <w:tcW w:w="483" w:type="pct"/>
            <w:vAlign w:val="center"/>
          </w:tcPr>
          <w:p w14:paraId="172FFBC2">
            <w:pPr>
              <w:pStyle w:val="180"/>
              <w:rPr>
                <w:rFonts w:ascii="Times New Roman"/>
                <w:szCs w:val="21"/>
              </w:rPr>
            </w:pPr>
            <w:r>
              <w:rPr>
                <w:rFonts w:hint="eastAsia" w:ascii="Times New Roman"/>
                <w:szCs w:val="21"/>
              </w:rPr>
              <w:t>果实畸形与缺陷情况</w:t>
            </w:r>
          </w:p>
        </w:tc>
        <w:tc>
          <w:tcPr>
            <w:tcW w:w="327" w:type="pct"/>
            <w:vAlign w:val="center"/>
          </w:tcPr>
          <w:p w14:paraId="26DA0FA1">
            <w:pPr>
              <w:pStyle w:val="180"/>
              <w:rPr>
                <w:rFonts w:ascii="Times New Roman"/>
                <w:szCs w:val="21"/>
              </w:rPr>
            </w:pPr>
            <w:r>
              <w:rPr>
                <w:rFonts w:hint="eastAsia" w:ascii="Times New Roman"/>
                <w:szCs w:val="21"/>
              </w:rPr>
              <w:t>果实</w:t>
            </w:r>
          </w:p>
          <w:p w14:paraId="16965846">
            <w:pPr>
              <w:pStyle w:val="180"/>
              <w:rPr>
                <w:rFonts w:ascii="Times New Roman"/>
                <w:szCs w:val="21"/>
              </w:rPr>
            </w:pPr>
            <w:r>
              <w:rPr>
                <w:rFonts w:hint="eastAsia" w:ascii="Times New Roman"/>
                <w:szCs w:val="21"/>
              </w:rPr>
              <w:t>成熟度</w:t>
            </w:r>
          </w:p>
        </w:tc>
        <w:tc>
          <w:tcPr>
            <w:tcW w:w="354" w:type="pct"/>
            <w:vAlign w:val="center"/>
          </w:tcPr>
          <w:p w14:paraId="20C54588">
            <w:pPr>
              <w:pStyle w:val="180"/>
              <w:rPr>
                <w:rFonts w:ascii="Times New Roman"/>
                <w:szCs w:val="21"/>
              </w:rPr>
            </w:pPr>
            <w:r>
              <w:rPr>
                <w:rFonts w:hint="eastAsia" w:ascii="Times New Roman"/>
                <w:szCs w:val="21"/>
              </w:rPr>
              <w:t>果苞</w:t>
            </w:r>
          </w:p>
          <w:p w14:paraId="4B092C8D">
            <w:pPr>
              <w:pStyle w:val="180"/>
              <w:rPr>
                <w:rFonts w:ascii="Times New Roman"/>
                <w:szCs w:val="21"/>
              </w:rPr>
            </w:pPr>
            <w:r>
              <w:rPr>
                <w:rFonts w:hint="eastAsia" w:ascii="Times New Roman"/>
                <w:szCs w:val="21"/>
              </w:rPr>
              <w:t>厚度</w:t>
            </w:r>
          </w:p>
        </w:tc>
        <w:tc>
          <w:tcPr>
            <w:tcW w:w="354" w:type="pct"/>
            <w:vAlign w:val="center"/>
          </w:tcPr>
          <w:p w14:paraId="39FEF544">
            <w:pPr>
              <w:pStyle w:val="180"/>
              <w:rPr>
                <w:rFonts w:ascii="Times New Roman"/>
                <w:szCs w:val="21"/>
              </w:rPr>
            </w:pPr>
            <w:r>
              <w:rPr>
                <w:rFonts w:hint="eastAsia" w:ascii="Times New Roman"/>
                <w:szCs w:val="21"/>
              </w:rPr>
              <w:t>果苞</w:t>
            </w:r>
          </w:p>
          <w:p w14:paraId="0513F598">
            <w:pPr>
              <w:pStyle w:val="180"/>
              <w:rPr>
                <w:rFonts w:ascii="Times New Roman"/>
                <w:szCs w:val="21"/>
              </w:rPr>
            </w:pPr>
            <w:r>
              <w:rPr>
                <w:rFonts w:hint="eastAsia" w:ascii="Times New Roman"/>
                <w:szCs w:val="21"/>
              </w:rPr>
              <w:t>颜色</w:t>
            </w:r>
          </w:p>
        </w:tc>
        <w:tc>
          <w:tcPr>
            <w:tcW w:w="354" w:type="pct"/>
            <w:vAlign w:val="center"/>
          </w:tcPr>
          <w:p w14:paraId="69C16B0F">
            <w:pPr>
              <w:pStyle w:val="180"/>
              <w:rPr>
                <w:rFonts w:ascii="Times New Roman"/>
                <w:szCs w:val="21"/>
              </w:rPr>
            </w:pPr>
            <w:r>
              <w:rPr>
                <w:rFonts w:hint="eastAsia" w:ascii="Times New Roman"/>
                <w:szCs w:val="21"/>
              </w:rPr>
              <w:t>果苞</w:t>
            </w:r>
          </w:p>
          <w:p w14:paraId="3C350A0C">
            <w:pPr>
              <w:pStyle w:val="180"/>
              <w:rPr>
                <w:rFonts w:ascii="Times New Roman"/>
                <w:szCs w:val="21"/>
              </w:rPr>
            </w:pPr>
            <w:r>
              <w:rPr>
                <w:rFonts w:hint="eastAsia" w:ascii="Times New Roman"/>
                <w:szCs w:val="21"/>
              </w:rPr>
              <w:t>风味</w:t>
            </w:r>
          </w:p>
        </w:tc>
        <w:tc>
          <w:tcPr>
            <w:tcW w:w="354" w:type="pct"/>
            <w:vAlign w:val="center"/>
          </w:tcPr>
          <w:p w14:paraId="59CF41E7">
            <w:pPr>
              <w:pStyle w:val="180"/>
              <w:rPr>
                <w:rFonts w:ascii="Times New Roman"/>
                <w:szCs w:val="21"/>
              </w:rPr>
            </w:pPr>
            <w:r>
              <w:rPr>
                <w:rFonts w:hint="eastAsia" w:ascii="Times New Roman"/>
                <w:szCs w:val="21"/>
              </w:rPr>
              <w:t>果苞</w:t>
            </w:r>
          </w:p>
          <w:p w14:paraId="7F20290F">
            <w:pPr>
              <w:pStyle w:val="180"/>
              <w:rPr>
                <w:rFonts w:ascii="Times New Roman"/>
                <w:szCs w:val="21"/>
              </w:rPr>
            </w:pPr>
            <w:r>
              <w:rPr>
                <w:rFonts w:hint="eastAsia" w:ascii="Times New Roman"/>
                <w:szCs w:val="21"/>
              </w:rPr>
              <w:t>口感</w:t>
            </w:r>
          </w:p>
        </w:tc>
        <w:tc>
          <w:tcPr>
            <w:tcW w:w="357" w:type="pct"/>
            <w:vAlign w:val="center"/>
          </w:tcPr>
          <w:p w14:paraId="0FD4251B">
            <w:pPr>
              <w:pStyle w:val="180"/>
              <w:rPr>
                <w:rFonts w:ascii="Times New Roman"/>
                <w:szCs w:val="21"/>
              </w:rPr>
            </w:pPr>
            <w:r>
              <w:rPr>
                <w:rFonts w:hint="eastAsia" w:ascii="Times New Roman"/>
                <w:szCs w:val="21"/>
              </w:rPr>
              <w:t>果实损害情况</w:t>
            </w:r>
          </w:p>
        </w:tc>
        <w:tc>
          <w:tcPr>
            <w:tcW w:w="357" w:type="pct"/>
            <w:vAlign w:val="center"/>
          </w:tcPr>
          <w:p w14:paraId="58A02BA3">
            <w:pPr>
              <w:pStyle w:val="180"/>
              <w:rPr>
                <w:rFonts w:ascii="Times New Roman"/>
                <w:szCs w:val="21"/>
              </w:rPr>
            </w:pPr>
            <w:r>
              <w:rPr>
                <w:rFonts w:hint="eastAsia" w:ascii="Times New Roman"/>
                <w:szCs w:val="21"/>
              </w:rPr>
              <w:t>判定结果</w:t>
            </w:r>
          </w:p>
        </w:tc>
      </w:tr>
      <w:tr w14:paraId="71CB0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6DA9B5F7">
            <w:pPr>
              <w:spacing w:line="440" w:lineRule="exact"/>
              <w:jc w:val="left"/>
              <w:rPr>
                <w:rFonts w:ascii="宋体" w:hAnsi="宋体" w:cs="宋体"/>
                <w:position w:val="-2"/>
                <w:sz w:val="18"/>
                <w:szCs w:val="18"/>
              </w:rPr>
            </w:pPr>
          </w:p>
        </w:tc>
        <w:tc>
          <w:tcPr>
            <w:tcW w:w="416" w:type="pct"/>
          </w:tcPr>
          <w:p w14:paraId="22B6C875">
            <w:pPr>
              <w:spacing w:line="440" w:lineRule="exact"/>
              <w:jc w:val="left"/>
              <w:rPr>
                <w:rFonts w:ascii="宋体" w:hAnsi="宋体" w:cs="宋体"/>
                <w:position w:val="-2"/>
                <w:sz w:val="18"/>
                <w:szCs w:val="18"/>
              </w:rPr>
            </w:pPr>
          </w:p>
        </w:tc>
        <w:tc>
          <w:tcPr>
            <w:tcW w:w="416" w:type="pct"/>
          </w:tcPr>
          <w:p w14:paraId="5934F091">
            <w:pPr>
              <w:spacing w:line="440" w:lineRule="exact"/>
              <w:jc w:val="left"/>
              <w:rPr>
                <w:rFonts w:ascii="宋体" w:hAnsi="宋体" w:cs="宋体"/>
                <w:position w:val="-2"/>
                <w:sz w:val="18"/>
                <w:szCs w:val="18"/>
              </w:rPr>
            </w:pPr>
          </w:p>
        </w:tc>
        <w:tc>
          <w:tcPr>
            <w:tcW w:w="416" w:type="pct"/>
          </w:tcPr>
          <w:p w14:paraId="5EFDD021">
            <w:pPr>
              <w:spacing w:line="440" w:lineRule="exact"/>
              <w:jc w:val="left"/>
              <w:rPr>
                <w:rFonts w:ascii="宋体" w:hAnsi="宋体" w:cs="宋体"/>
                <w:position w:val="-2"/>
                <w:sz w:val="18"/>
                <w:szCs w:val="18"/>
              </w:rPr>
            </w:pPr>
          </w:p>
        </w:tc>
        <w:tc>
          <w:tcPr>
            <w:tcW w:w="353" w:type="pct"/>
          </w:tcPr>
          <w:p w14:paraId="4A265994">
            <w:pPr>
              <w:spacing w:line="440" w:lineRule="exact"/>
              <w:jc w:val="left"/>
              <w:rPr>
                <w:rFonts w:ascii="宋体" w:hAnsi="宋体" w:cs="宋体"/>
                <w:position w:val="-2"/>
                <w:sz w:val="18"/>
                <w:szCs w:val="18"/>
              </w:rPr>
            </w:pPr>
          </w:p>
        </w:tc>
        <w:tc>
          <w:tcPr>
            <w:tcW w:w="249" w:type="pct"/>
          </w:tcPr>
          <w:p w14:paraId="3C476991">
            <w:pPr>
              <w:spacing w:line="440" w:lineRule="exact"/>
              <w:jc w:val="left"/>
              <w:rPr>
                <w:rFonts w:ascii="宋体" w:hAnsi="宋体" w:cs="宋体"/>
                <w:position w:val="-2"/>
                <w:sz w:val="18"/>
                <w:szCs w:val="18"/>
              </w:rPr>
            </w:pPr>
          </w:p>
        </w:tc>
        <w:tc>
          <w:tcPr>
            <w:tcW w:w="483" w:type="pct"/>
          </w:tcPr>
          <w:p w14:paraId="1AA9C19C">
            <w:pPr>
              <w:spacing w:line="440" w:lineRule="exact"/>
              <w:jc w:val="left"/>
              <w:rPr>
                <w:rFonts w:ascii="宋体" w:hAnsi="宋体" w:cs="宋体"/>
                <w:position w:val="-2"/>
                <w:sz w:val="18"/>
                <w:szCs w:val="18"/>
              </w:rPr>
            </w:pPr>
          </w:p>
        </w:tc>
        <w:tc>
          <w:tcPr>
            <w:tcW w:w="327" w:type="pct"/>
          </w:tcPr>
          <w:p w14:paraId="7D7540A8">
            <w:pPr>
              <w:spacing w:line="440" w:lineRule="exact"/>
              <w:jc w:val="left"/>
              <w:rPr>
                <w:rFonts w:ascii="宋体" w:hAnsi="宋体" w:cs="宋体"/>
                <w:position w:val="-2"/>
                <w:sz w:val="18"/>
                <w:szCs w:val="18"/>
              </w:rPr>
            </w:pPr>
          </w:p>
        </w:tc>
        <w:tc>
          <w:tcPr>
            <w:tcW w:w="354" w:type="pct"/>
          </w:tcPr>
          <w:p w14:paraId="163E55B5">
            <w:pPr>
              <w:spacing w:line="440" w:lineRule="exact"/>
              <w:jc w:val="left"/>
              <w:rPr>
                <w:rFonts w:ascii="宋体" w:hAnsi="宋体" w:cs="宋体"/>
                <w:position w:val="-2"/>
                <w:sz w:val="18"/>
                <w:szCs w:val="18"/>
              </w:rPr>
            </w:pPr>
          </w:p>
        </w:tc>
        <w:tc>
          <w:tcPr>
            <w:tcW w:w="354" w:type="pct"/>
          </w:tcPr>
          <w:p w14:paraId="706AD126">
            <w:pPr>
              <w:spacing w:line="440" w:lineRule="exact"/>
              <w:jc w:val="left"/>
              <w:rPr>
                <w:rFonts w:ascii="宋体" w:hAnsi="宋体" w:cs="宋体"/>
                <w:position w:val="-2"/>
                <w:sz w:val="18"/>
                <w:szCs w:val="18"/>
              </w:rPr>
            </w:pPr>
          </w:p>
        </w:tc>
        <w:tc>
          <w:tcPr>
            <w:tcW w:w="354" w:type="pct"/>
          </w:tcPr>
          <w:p w14:paraId="4CE69B2F">
            <w:pPr>
              <w:spacing w:line="440" w:lineRule="exact"/>
              <w:jc w:val="left"/>
              <w:rPr>
                <w:rFonts w:ascii="宋体" w:hAnsi="宋体" w:cs="宋体"/>
                <w:position w:val="-2"/>
                <w:sz w:val="18"/>
                <w:szCs w:val="18"/>
              </w:rPr>
            </w:pPr>
          </w:p>
        </w:tc>
        <w:tc>
          <w:tcPr>
            <w:tcW w:w="354" w:type="pct"/>
          </w:tcPr>
          <w:p w14:paraId="45DC47FE">
            <w:pPr>
              <w:spacing w:line="440" w:lineRule="exact"/>
              <w:jc w:val="left"/>
              <w:rPr>
                <w:rFonts w:ascii="宋体" w:hAnsi="宋体" w:cs="宋体"/>
                <w:position w:val="-2"/>
                <w:sz w:val="18"/>
                <w:szCs w:val="18"/>
              </w:rPr>
            </w:pPr>
          </w:p>
        </w:tc>
        <w:tc>
          <w:tcPr>
            <w:tcW w:w="357" w:type="pct"/>
          </w:tcPr>
          <w:p w14:paraId="2EC2C706">
            <w:pPr>
              <w:spacing w:line="440" w:lineRule="exact"/>
              <w:jc w:val="left"/>
              <w:rPr>
                <w:rFonts w:ascii="宋体" w:hAnsi="宋体" w:cs="宋体"/>
                <w:position w:val="-2"/>
                <w:sz w:val="18"/>
                <w:szCs w:val="18"/>
              </w:rPr>
            </w:pPr>
          </w:p>
        </w:tc>
        <w:tc>
          <w:tcPr>
            <w:tcW w:w="357" w:type="pct"/>
          </w:tcPr>
          <w:p w14:paraId="0159EC4D">
            <w:pPr>
              <w:spacing w:line="440" w:lineRule="exact"/>
              <w:jc w:val="left"/>
              <w:rPr>
                <w:rFonts w:ascii="宋体" w:hAnsi="宋体" w:cs="宋体"/>
                <w:position w:val="-2"/>
                <w:sz w:val="18"/>
                <w:szCs w:val="18"/>
              </w:rPr>
            </w:pPr>
          </w:p>
        </w:tc>
      </w:tr>
      <w:tr w14:paraId="70513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149F4DA2">
            <w:pPr>
              <w:spacing w:line="440" w:lineRule="exact"/>
              <w:jc w:val="left"/>
              <w:rPr>
                <w:rFonts w:ascii="宋体" w:hAnsi="宋体" w:cs="宋体"/>
                <w:position w:val="-2"/>
                <w:sz w:val="18"/>
                <w:szCs w:val="18"/>
              </w:rPr>
            </w:pPr>
          </w:p>
        </w:tc>
        <w:tc>
          <w:tcPr>
            <w:tcW w:w="416" w:type="pct"/>
          </w:tcPr>
          <w:p w14:paraId="3E71F32E">
            <w:pPr>
              <w:spacing w:line="440" w:lineRule="exact"/>
              <w:jc w:val="left"/>
              <w:rPr>
                <w:rFonts w:ascii="宋体" w:hAnsi="宋体" w:cs="宋体"/>
                <w:position w:val="-2"/>
                <w:sz w:val="18"/>
                <w:szCs w:val="18"/>
              </w:rPr>
            </w:pPr>
          </w:p>
        </w:tc>
        <w:tc>
          <w:tcPr>
            <w:tcW w:w="416" w:type="pct"/>
          </w:tcPr>
          <w:p w14:paraId="348AEF72">
            <w:pPr>
              <w:spacing w:line="440" w:lineRule="exact"/>
              <w:jc w:val="left"/>
              <w:rPr>
                <w:rFonts w:ascii="宋体" w:hAnsi="宋体" w:cs="宋体"/>
                <w:position w:val="-2"/>
                <w:sz w:val="18"/>
                <w:szCs w:val="18"/>
              </w:rPr>
            </w:pPr>
          </w:p>
        </w:tc>
        <w:tc>
          <w:tcPr>
            <w:tcW w:w="416" w:type="pct"/>
          </w:tcPr>
          <w:p w14:paraId="5110CA0B">
            <w:pPr>
              <w:spacing w:line="440" w:lineRule="exact"/>
              <w:jc w:val="left"/>
              <w:rPr>
                <w:rFonts w:ascii="宋体" w:hAnsi="宋体" w:cs="宋体"/>
                <w:position w:val="-2"/>
                <w:sz w:val="18"/>
                <w:szCs w:val="18"/>
              </w:rPr>
            </w:pPr>
          </w:p>
        </w:tc>
        <w:tc>
          <w:tcPr>
            <w:tcW w:w="353" w:type="pct"/>
          </w:tcPr>
          <w:p w14:paraId="0C23FBD7">
            <w:pPr>
              <w:spacing w:line="440" w:lineRule="exact"/>
              <w:jc w:val="left"/>
              <w:rPr>
                <w:rFonts w:ascii="宋体" w:hAnsi="宋体" w:cs="宋体"/>
                <w:position w:val="-2"/>
                <w:sz w:val="18"/>
                <w:szCs w:val="18"/>
              </w:rPr>
            </w:pPr>
          </w:p>
        </w:tc>
        <w:tc>
          <w:tcPr>
            <w:tcW w:w="249" w:type="pct"/>
          </w:tcPr>
          <w:p w14:paraId="5B811389">
            <w:pPr>
              <w:spacing w:line="440" w:lineRule="exact"/>
              <w:jc w:val="left"/>
              <w:rPr>
                <w:rFonts w:ascii="宋体" w:hAnsi="宋体" w:cs="宋体"/>
                <w:position w:val="-2"/>
                <w:sz w:val="18"/>
                <w:szCs w:val="18"/>
              </w:rPr>
            </w:pPr>
          </w:p>
        </w:tc>
        <w:tc>
          <w:tcPr>
            <w:tcW w:w="483" w:type="pct"/>
          </w:tcPr>
          <w:p w14:paraId="01D763F6">
            <w:pPr>
              <w:spacing w:line="440" w:lineRule="exact"/>
              <w:jc w:val="left"/>
              <w:rPr>
                <w:rFonts w:ascii="宋体" w:hAnsi="宋体" w:cs="宋体"/>
                <w:position w:val="-2"/>
                <w:sz w:val="18"/>
                <w:szCs w:val="18"/>
              </w:rPr>
            </w:pPr>
          </w:p>
        </w:tc>
        <w:tc>
          <w:tcPr>
            <w:tcW w:w="327" w:type="pct"/>
          </w:tcPr>
          <w:p w14:paraId="3F228B24">
            <w:pPr>
              <w:spacing w:line="440" w:lineRule="exact"/>
              <w:jc w:val="left"/>
              <w:rPr>
                <w:rFonts w:ascii="宋体" w:hAnsi="宋体" w:cs="宋体"/>
                <w:position w:val="-2"/>
                <w:sz w:val="18"/>
                <w:szCs w:val="18"/>
              </w:rPr>
            </w:pPr>
          </w:p>
        </w:tc>
        <w:tc>
          <w:tcPr>
            <w:tcW w:w="354" w:type="pct"/>
          </w:tcPr>
          <w:p w14:paraId="2B40B574">
            <w:pPr>
              <w:spacing w:line="440" w:lineRule="exact"/>
              <w:jc w:val="left"/>
              <w:rPr>
                <w:rFonts w:ascii="宋体" w:hAnsi="宋体" w:cs="宋体"/>
                <w:position w:val="-2"/>
                <w:sz w:val="18"/>
                <w:szCs w:val="18"/>
              </w:rPr>
            </w:pPr>
          </w:p>
        </w:tc>
        <w:tc>
          <w:tcPr>
            <w:tcW w:w="354" w:type="pct"/>
          </w:tcPr>
          <w:p w14:paraId="6C7DF7A8">
            <w:pPr>
              <w:spacing w:line="440" w:lineRule="exact"/>
              <w:jc w:val="left"/>
              <w:rPr>
                <w:rFonts w:ascii="宋体" w:hAnsi="宋体" w:cs="宋体"/>
                <w:position w:val="-2"/>
                <w:sz w:val="18"/>
                <w:szCs w:val="18"/>
              </w:rPr>
            </w:pPr>
          </w:p>
        </w:tc>
        <w:tc>
          <w:tcPr>
            <w:tcW w:w="354" w:type="pct"/>
          </w:tcPr>
          <w:p w14:paraId="3792E40A">
            <w:pPr>
              <w:spacing w:line="440" w:lineRule="exact"/>
              <w:jc w:val="left"/>
              <w:rPr>
                <w:rFonts w:ascii="宋体" w:hAnsi="宋体" w:cs="宋体"/>
                <w:position w:val="-2"/>
                <w:sz w:val="18"/>
                <w:szCs w:val="18"/>
              </w:rPr>
            </w:pPr>
          </w:p>
        </w:tc>
        <w:tc>
          <w:tcPr>
            <w:tcW w:w="354" w:type="pct"/>
          </w:tcPr>
          <w:p w14:paraId="19431ECA">
            <w:pPr>
              <w:spacing w:line="440" w:lineRule="exact"/>
              <w:jc w:val="left"/>
              <w:rPr>
                <w:rFonts w:ascii="宋体" w:hAnsi="宋体" w:cs="宋体"/>
                <w:position w:val="-2"/>
                <w:sz w:val="18"/>
                <w:szCs w:val="18"/>
              </w:rPr>
            </w:pPr>
          </w:p>
        </w:tc>
        <w:tc>
          <w:tcPr>
            <w:tcW w:w="357" w:type="pct"/>
          </w:tcPr>
          <w:p w14:paraId="3F00E5FA">
            <w:pPr>
              <w:spacing w:line="440" w:lineRule="exact"/>
              <w:jc w:val="left"/>
              <w:rPr>
                <w:rFonts w:ascii="宋体" w:hAnsi="宋体" w:cs="宋体"/>
                <w:position w:val="-2"/>
                <w:sz w:val="18"/>
                <w:szCs w:val="18"/>
              </w:rPr>
            </w:pPr>
          </w:p>
        </w:tc>
        <w:tc>
          <w:tcPr>
            <w:tcW w:w="357" w:type="pct"/>
          </w:tcPr>
          <w:p w14:paraId="2083834F">
            <w:pPr>
              <w:spacing w:line="440" w:lineRule="exact"/>
              <w:jc w:val="left"/>
              <w:rPr>
                <w:rFonts w:ascii="宋体" w:hAnsi="宋体" w:cs="宋体"/>
                <w:position w:val="-2"/>
                <w:sz w:val="18"/>
                <w:szCs w:val="18"/>
              </w:rPr>
            </w:pPr>
          </w:p>
        </w:tc>
      </w:tr>
      <w:tr w14:paraId="5FC0F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77F33928">
            <w:pPr>
              <w:spacing w:line="440" w:lineRule="exact"/>
              <w:jc w:val="left"/>
              <w:rPr>
                <w:rFonts w:ascii="宋体" w:hAnsi="宋体" w:cs="宋体"/>
                <w:position w:val="-2"/>
                <w:sz w:val="18"/>
                <w:szCs w:val="18"/>
              </w:rPr>
            </w:pPr>
          </w:p>
        </w:tc>
        <w:tc>
          <w:tcPr>
            <w:tcW w:w="416" w:type="pct"/>
          </w:tcPr>
          <w:p w14:paraId="48E4B070">
            <w:pPr>
              <w:spacing w:line="440" w:lineRule="exact"/>
              <w:jc w:val="left"/>
              <w:rPr>
                <w:rFonts w:ascii="宋体" w:hAnsi="宋体" w:cs="宋体"/>
                <w:position w:val="-2"/>
                <w:sz w:val="18"/>
                <w:szCs w:val="18"/>
              </w:rPr>
            </w:pPr>
          </w:p>
        </w:tc>
        <w:tc>
          <w:tcPr>
            <w:tcW w:w="416" w:type="pct"/>
          </w:tcPr>
          <w:p w14:paraId="08518ABD">
            <w:pPr>
              <w:spacing w:line="440" w:lineRule="exact"/>
              <w:jc w:val="left"/>
              <w:rPr>
                <w:rFonts w:ascii="宋体" w:hAnsi="宋体" w:cs="宋体"/>
                <w:position w:val="-2"/>
                <w:sz w:val="18"/>
                <w:szCs w:val="18"/>
              </w:rPr>
            </w:pPr>
          </w:p>
        </w:tc>
        <w:tc>
          <w:tcPr>
            <w:tcW w:w="416" w:type="pct"/>
          </w:tcPr>
          <w:p w14:paraId="3B44242A">
            <w:pPr>
              <w:spacing w:line="440" w:lineRule="exact"/>
              <w:jc w:val="left"/>
              <w:rPr>
                <w:rFonts w:ascii="宋体" w:hAnsi="宋体" w:cs="宋体"/>
                <w:position w:val="-2"/>
                <w:sz w:val="18"/>
                <w:szCs w:val="18"/>
              </w:rPr>
            </w:pPr>
          </w:p>
        </w:tc>
        <w:tc>
          <w:tcPr>
            <w:tcW w:w="353" w:type="pct"/>
          </w:tcPr>
          <w:p w14:paraId="402C3F3E">
            <w:pPr>
              <w:spacing w:line="440" w:lineRule="exact"/>
              <w:jc w:val="left"/>
              <w:rPr>
                <w:rFonts w:ascii="宋体" w:hAnsi="宋体" w:cs="宋体"/>
                <w:position w:val="-2"/>
                <w:sz w:val="18"/>
                <w:szCs w:val="18"/>
              </w:rPr>
            </w:pPr>
          </w:p>
        </w:tc>
        <w:tc>
          <w:tcPr>
            <w:tcW w:w="249" w:type="pct"/>
          </w:tcPr>
          <w:p w14:paraId="7C82FB25">
            <w:pPr>
              <w:spacing w:line="440" w:lineRule="exact"/>
              <w:jc w:val="left"/>
              <w:rPr>
                <w:rFonts w:ascii="宋体" w:hAnsi="宋体" w:cs="宋体"/>
                <w:position w:val="-2"/>
                <w:sz w:val="18"/>
                <w:szCs w:val="18"/>
              </w:rPr>
            </w:pPr>
          </w:p>
        </w:tc>
        <w:tc>
          <w:tcPr>
            <w:tcW w:w="483" w:type="pct"/>
          </w:tcPr>
          <w:p w14:paraId="47E9C189">
            <w:pPr>
              <w:spacing w:line="440" w:lineRule="exact"/>
              <w:jc w:val="left"/>
              <w:rPr>
                <w:rFonts w:ascii="宋体" w:hAnsi="宋体" w:cs="宋体"/>
                <w:position w:val="-2"/>
                <w:sz w:val="18"/>
                <w:szCs w:val="18"/>
              </w:rPr>
            </w:pPr>
          </w:p>
        </w:tc>
        <w:tc>
          <w:tcPr>
            <w:tcW w:w="327" w:type="pct"/>
          </w:tcPr>
          <w:p w14:paraId="6DB291CA">
            <w:pPr>
              <w:spacing w:line="440" w:lineRule="exact"/>
              <w:jc w:val="left"/>
              <w:rPr>
                <w:rFonts w:ascii="宋体" w:hAnsi="宋体" w:cs="宋体"/>
                <w:position w:val="-2"/>
                <w:sz w:val="18"/>
                <w:szCs w:val="18"/>
              </w:rPr>
            </w:pPr>
          </w:p>
        </w:tc>
        <w:tc>
          <w:tcPr>
            <w:tcW w:w="354" w:type="pct"/>
          </w:tcPr>
          <w:p w14:paraId="768FD73C">
            <w:pPr>
              <w:spacing w:line="440" w:lineRule="exact"/>
              <w:jc w:val="left"/>
              <w:rPr>
                <w:rFonts w:ascii="宋体" w:hAnsi="宋体" w:cs="宋体"/>
                <w:position w:val="-2"/>
                <w:sz w:val="18"/>
                <w:szCs w:val="18"/>
              </w:rPr>
            </w:pPr>
          </w:p>
        </w:tc>
        <w:tc>
          <w:tcPr>
            <w:tcW w:w="354" w:type="pct"/>
          </w:tcPr>
          <w:p w14:paraId="07410586">
            <w:pPr>
              <w:spacing w:line="440" w:lineRule="exact"/>
              <w:jc w:val="left"/>
              <w:rPr>
                <w:rFonts w:ascii="宋体" w:hAnsi="宋体" w:cs="宋体"/>
                <w:position w:val="-2"/>
                <w:sz w:val="18"/>
                <w:szCs w:val="18"/>
              </w:rPr>
            </w:pPr>
          </w:p>
        </w:tc>
        <w:tc>
          <w:tcPr>
            <w:tcW w:w="354" w:type="pct"/>
          </w:tcPr>
          <w:p w14:paraId="647D885F">
            <w:pPr>
              <w:spacing w:line="440" w:lineRule="exact"/>
              <w:jc w:val="left"/>
              <w:rPr>
                <w:rFonts w:ascii="宋体" w:hAnsi="宋体" w:cs="宋体"/>
                <w:position w:val="-2"/>
                <w:sz w:val="18"/>
                <w:szCs w:val="18"/>
              </w:rPr>
            </w:pPr>
          </w:p>
        </w:tc>
        <w:tc>
          <w:tcPr>
            <w:tcW w:w="354" w:type="pct"/>
          </w:tcPr>
          <w:p w14:paraId="3EE5822C">
            <w:pPr>
              <w:spacing w:line="440" w:lineRule="exact"/>
              <w:jc w:val="left"/>
              <w:rPr>
                <w:rFonts w:ascii="宋体" w:hAnsi="宋体" w:cs="宋体"/>
                <w:position w:val="-2"/>
                <w:sz w:val="18"/>
                <w:szCs w:val="18"/>
              </w:rPr>
            </w:pPr>
          </w:p>
        </w:tc>
        <w:tc>
          <w:tcPr>
            <w:tcW w:w="357" w:type="pct"/>
          </w:tcPr>
          <w:p w14:paraId="05BFADC7">
            <w:pPr>
              <w:spacing w:line="440" w:lineRule="exact"/>
              <w:jc w:val="left"/>
              <w:rPr>
                <w:rFonts w:ascii="宋体" w:hAnsi="宋体" w:cs="宋体"/>
                <w:position w:val="-2"/>
                <w:sz w:val="18"/>
                <w:szCs w:val="18"/>
              </w:rPr>
            </w:pPr>
          </w:p>
        </w:tc>
        <w:tc>
          <w:tcPr>
            <w:tcW w:w="357" w:type="pct"/>
          </w:tcPr>
          <w:p w14:paraId="257A4BF7">
            <w:pPr>
              <w:spacing w:line="440" w:lineRule="exact"/>
              <w:jc w:val="left"/>
              <w:rPr>
                <w:rFonts w:ascii="宋体" w:hAnsi="宋体" w:cs="宋体"/>
                <w:position w:val="-2"/>
                <w:sz w:val="18"/>
                <w:szCs w:val="18"/>
              </w:rPr>
            </w:pPr>
          </w:p>
        </w:tc>
      </w:tr>
      <w:tr w14:paraId="38DC4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09D193FF">
            <w:pPr>
              <w:spacing w:line="440" w:lineRule="exact"/>
              <w:jc w:val="left"/>
              <w:rPr>
                <w:rFonts w:ascii="宋体" w:hAnsi="宋体" w:cs="宋体"/>
                <w:position w:val="-2"/>
                <w:sz w:val="18"/>
                <w:szCs w:val="18"/>
              </w:rPr>
            </w:pPr>
          </w:p>
        </w:tc>
        <w:tc>
          <w:tcPr>
            <w:tcW w:w="416" w:type="pct"/>
          </w:tcPr>
          <w:p w14:paraId="48275A8E">
            <w:pPr>
              <w:spacing w:line="440" w:lineRule="exact"/>
              <w:jc w:val="left"/>
              <w:rPr>
                <w:rFonts w:ascii="宋体" w:hAnsi="宋体" w:cs="宋体"/>
                <w:position w:val="-2"/>
                <w:sz w:val="18"/>
                <w:szCs w:val="18"/>
              </w:rPr>
            </w:pPr>
          </w:p>
        </w:tc>
        <w:tc>
          <w:tcPr>
            <w:tcW w:w="416" w:type="pct"/>
          </w:tcPr>
          <w:p w14:paraId="28C9C6EA">
            <w:pPr>
              <w:spacing w:line="440" w:lineRule="exact"/>
              <w:jc w:val="left"/>
              <w:rPr>
                <w:rFonts w:ascii="宋体" w:hAnsi="宋体" w:cs="宋体"/>
                <w:position w:val="-2"/>
                <w:sz w:val="18"/>
                <w:szCs w:val="18"/>
              </w:rPr>
            </w:pPr>
          </w:p>
        </w:tc>
        <w:tc>
          <w:tcPr>
            <w:tcW w:w="416" w:type="pct"/>
          </w:tcPr>
          <w:p w14:paraId="5FE0C3DE">
            <w:pPr>
              <w:spacing w:line="440" w:lineRule="exact"/>
              <w:jc w:val="left"/>
              <w:rPr>
                <w:rFonts w:ascii="宋体" w:hAnsi="宋体" w:cs="宋体"/>
                <w:position w:val="-2"/>
                <w:sz w:val="18"/>
                <w:szCs w:val="18"/>
              </w:rPr>
            </w:pPr>
          </w:p>
        </w:tc>
        <w:tc>
          <w:tcPr>
            <w:tcW w:w="353" w:type="pct"/>
          </w:tcPr>
          <w:p w14:paraId="4CC6F2B7">
            <w:pPr>
              <w:spacing w:line="440" w:lineRule="exact"/>
              <w:jc w:val="left"/>
              <w:rPr>
                <w:rFonts w:ascii="宋体" w:hAnsi="宋体" w:cs="宋体"/>
                <w:position w:val="-2"/>
                <w:sz w:val="18"/>
                <w:szCs w:val="18"/>
              </w:rPr>
            </w:pPr>
          </w:p>
        </w:tc>
        <w:tc>
          <w:tcPr>
            <w:tcW w:w="249" w:type="pct"/>
          </w:tcPr>
          <w:p w14:paraId="075A32DF">
            <w:pPr>
              <w:spacing w:line="440" w:lineRule="exact"/>
              <w:jc w:val="left"/>
              <w:rPr>
                <w:rFonts w:ascii="宋体" w:hAnsi="宋体" w:cs="宋体"/>
                <w:position w:val="-2"/>
                <w:sz w:val="18"/>
                <w:szCs w:val="18"/>
              </w:rPr>
            </w:pPr>
          </w:p>
        </w:tc>
        <w:tc>
          <w:tcPr>
            <w:tcW w:w="483" w:type="pct"/>
          </w:tcPr>
          <w:p w14:paraId="2A5E4711">
            <w:pPr>
              <w:spacing w:line="440" w:lineRule="exact"/>
              <w:jc w:val="left"/>
              <w:rPr>
                <w:rFonts w:ascii="宋体" w:hAnsi="宋体" w:cs="宋体"/>
                <w:position w:val="-2"/>
                <w:sz w:val="18"/>
                <w:szCs w:val="18"/>
              </w:rPr>
            </w:pPr>
          </w:p>
        </w:tc>
        <w:tc>
          <w:tcPr>
            <w:tcW w:w="327" w:type="pct"/>
          </w:tcPr>
          <w:p w14:paraId="7DD91789">
            <w:pPr>
              <w:spacing w:line="440" w:lineRule="exact"/>
              <w:jc w:val="left"/>
              <w:rPr>
                <w:rFonts w:ascii="宋体" w:hAnsi="宋体" w:cs="宋体"/>
                <w:position w:val="-2"/>
                <w:sz w:val="18"/>
                <w:szCs w:val="18"/>
              </w:rPr>
            </w:pPr>
          </w:p>
        </w:tc>
        <w:tc>
          <w:tcPr>
            <w:tcW w:w="354" w:type="pct"/>
          </w:tcPr>
          <w:p w14:paraId="0C68E419">
            <w:pPr>
              <w:spacing w:line="440" w:lineRule="exact"/>
              <w:jc w:val="left"/>
              <w:rPr>
                <w:rFonts w:ascii="宋体" w:hAnsi="宋体" w:cs="宋体"/>
                <w:position w:val="-2"/>
                <w:sz w:val="18"/>
                <w:szCs w:val="18"/>
              </w:rPr>
            </w:pPr>
          </w:p>
        </w:tc>
        <w:tc>
          <w:tcPr>
            <w:tcW w:w="354" w:type="pct"/>
          </w:tcPr>
          <w:p w14:paraId="2F035A57">
            <w:pPr>
              <w:spacing w:line="440" w:lineRule="exact"/>
              <w:jc w:val="left"/>
              <w:rPr>
                <w:rFonts w:ascii="宋体" w:hAnsi="宋体" w:cs="宋体"/>
                <w:position w:val="-2"/>
                <w:sz w:val="18"/>
                <w:szCs w:val="18"/>
              </w:rPr>
            </w:pPr>
          </w:p>
        </w:tc>
        <w:tc>
          <w:tcPr>
            <w:tcW w:w="354" w:type="pct"/>
          </w:tcPr>
          <w:p w14:paraId="2EAD8B7B">
            <w:pPr>
              <w:spacing w:line="440" w:lineRule="exact"/>
              <w:jc w:val="left"/>
              <w:rPr>
                <w:rFonts w:ascii="宋体" w:hAnsi="宋体" w:cs="宋体"/>
                <w:position w:val="-2"/>
                <w:sz w:val="18"/>
                <w:szCs w:val="18"/>
              </w:rPr>
            </w:pPr>
          </w:p>
        </w:tc>
        <w:tc>
          <w:tcPr>
            <w:tcW w:w="354" w:type="pct"/>
          </w:tcPr>
          <w:p w14:paraId="52CCB949">
            <w:pPr>
              <w:spacing w:line="440" w:lineRule="exact"/>
              <w:jc w:val="left"/>
              <w:rPr>
                <w:rFonts w:ascii="宋体" w:hAnsi="宋体" w:cs="宋体"/>
                <w:position w:val="-2"/>
                <w:sz w:val="18"/>
                <w:szCs w:val="18"/>
              </w:rPr>
            </w:pPr>
          </w:p>
        </w:tc>
        <w:tc>
          <w:tcPr>
            <w:tcW w:w="357" w:type="pct"/>
          </w:tcPr>
          <w:p w14:paraId="12ED09ED">
            <w:pPr>
              <w:spacing w:line="440" w:lineRule="exact"/>
              <w:jc w:val="left"/>
              <w:rPr>
                <w:rFonts w:ascii="宋体" w:hAnsi="宋体" w:cs="宋体"/>
                <w:position w:val="-2"/>
                <w:sz w:val="18"/>
                <w:szCs w:val="18"/>
              </w:rPr>
            </w:pPr>
          </w:p>
        </w:tc>
        <w:tc>
          <w:tcPr>
            <w:tcW w:w="357" w:type="pct"/>
          </w:tcPr>
          <w:p w14:paraId="2AA28BDC">
            <w:pPr>
              <w:spacing w:line="440" w:lineRule="exact"/>
              <w:jc w:val="left"/>
              <w:rPr>
                <w:rFonts w:ascii="宋体" w:hAnsi="宋体" w:cs="宋体"/>
                <w:position w:val="-2"/>
                <w:sz w:val="18"/>
                <w:szCs w:val="18"/>
              </w:rPr>
            </w:pPr>
          </w:p>
        </w:tc>
      </w:tr>
      <w:tr w14:paraId="0A2DF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762A44FC">
            <w:pPr>
              <w:spacing w:line="440" w:lineRule="exact"/>
              <w:jc w:val="left"/>
              <w:rPr>
                <w:rFonts w:ascii="宋体" w:hAnsi="宋体" w:cs="宋体"/>
                <w:position w:val="-2"/>
                <w:sz w:val="18"/>
                <w:szCs w:val="18"/>
              </w:rPr>
            </w:pPr>
          </w:p>
        </w:tc>
        <w:tc>
          <w:tcPr>
            <w:tcW w:w="416" w:type="pct"/>
          </w:tcPr>
          <w:p w14:paraId="4EA56BD6">
            <w:pPr>
              <w:spacing w:line="440" w:lineRule="exact"/>
              <w:jc w:val="left"/>
              <w:rPr>
                <w:rFonts w:ascii="宋体" w:hAnsi="宋体" w:cs="宋体"/>
                <w:position w:val="-2"/>
                <w:sz w:val="18"/>
                <w:szCs w:val="18"/>
              </w:rPr>
            </w:pPr>
          </w:p>
        </w:tc>
        <w:tc>
          <w:tcPr>
            <w:tcW w:w="416" w:type="pct"/>
          </w:tcPr>
          <w:p w14:paraId="3B26C6FC">
            <w:pPr>
              <w:spacing w:line="440" w:lineRule="exact"/>
              <w:jc w:val="left"/>
              <w:rPr>
                <w:rFonts w:ascii="宋体" w:hAnsi="宋体" w:cs="宋体"/>
                <w:position w:val="-2"/>
                <w:sz w:val="18"/>
                <w:szCs w:val="18"/>
              </w:rPr>
            </w:pPr>
          </w:p>
        </w:tc>
        <w:tc>
          <w:tcPr>
            <w:tcW w:w="416" w:type="pct"/>
          </w:tcPr>
          <w:p w14:paraId="59AC8E02">
            <w:pPr>
              <w:spacing w:line="440" w:lineRule="exact"/>
              <w:jc w:val="left"/>
              <w:rPr>
                <w:rFonts w:ascii="宋体" w:hAnsi="宋体" w:cs="宋体"/>
                <w:position w:val="-2"/>
                <w:sz w:val="18"/>
                <w:szCs w:val="18"/>
              </w:rPr>
            </w:pPr>
          </w:p>
        </w:tc>
        <w:tc>
          <w:tcPr>
            <w:tcW w:w="353" w:type="pct"/>
          </w:tcPr>
          <w:p w14:paraId="4BD0C21C">
            <w:pPr>
              <w:spacing w:line="440" w:lineRule="exact"/>
              <w:jc w:val="left"/>
              <w:rPr>
                <w:rFonts w:ascii="宋体" w:hAnsi="宋体" w:cs="宋体"/>
                <w:position w:val="-2"/>
                <w:sz w:val="18"/>
                <w:szCs w:val="18"/>
              </w:rPr>
            </w:pPr>
          </w:p>
        </w:tc>
        <w:tc>
          <w:tcPr>
            <w:tcW w:w="249" w:type="pct"/>
          </w:tcPr>
          <w:p w14:paraId="22B38EC8">
            <w:pPr>
              <w:spacing w:line="440" w:lineRule="exact"/>
              <w:jc w:val="left"/>
              <w:rPr>
                <w:rFonts w:ascii="宋体" w:hAnsi="宋体" w:cs="宋体"/>
                <w:position w:val="-2"/>
                <w:sz w:val="18"/>
                <w:szCs w:val="18"/>
              </w:rPr>
            </w:pPr>
          </w:p>
        </w:tc>
        <w:tc>
          <w:tcPr>
            <w:tcW w:w="483" w:type="pct"/>
          </w:tcPr>
          <w:p w14:paraId="5D7943A1">
            <w:pPr>
              <w:spacing w:line="440" w:lineRule="exact"/>
              <w:jc w:val="left"/>
              <w:rPr>
                <w:rFonts w:ascii="宋体" w:hAnsi="宋体" w:cs="宋体"/>
                <w:position w:val="-2"/>
                <w:sz w:val="18"/>
                <w:szCs w:val="18"/>
              </w:rPr>
            </w:pPr>
          </w:p>
        </w:tc>
        <w:tc>
          <w:tcPr>
            <w:tcW w:w="327" w:type="pct"/>
          </w:tcPr>
          <w:p w14:paraId="10246171">
            <w:pPr>
              <w:spacing w:line="440" w:lineRule="exact"/>
              <w:jc w:val="left"/>
              <w:rPr>
                <w:rFonts w:ascii="宋体" w:hAnsi="宋体" w:cs="宋体"/>
                <w:position w:val="-2"/>
                <w:sz w:val="18"/>
                <w:szCs w:val="18"/>
              </w:rPr>
            </w:pPr>
          </w:p>
        </w:tc>
        <w:tc>
          <w:tcPr>
            <w:tcW w:w="354" w:type="pct"/>
          </w:tcPr>
          <w:p w14:paraId="5EBAD961">
            <w:pPr>
              <w:spacing w:line="440" w:lineRule="exact"/>
              <w:jc w:val="left"/>
              <w:rPr>
                <w:rFonts w:ascii="宋体" w:hAnsi="宋体" w:cs="宋体"/>
                <w:position w:val="-2"/>
                <w:sz w:val="18"/>
                <w:szCs w:val="18"/>
              </w:rPr>
            </w:pPr>
          </w:p>
        </w:tc>
        <w:tc>
          <w:tcPr>
            <w:tcW w:w="354" w:type="pct"/>
          </w:tcPr>
          <w:p w14:paraId="41325A52">
            <w:pPr>
              <w:spacing w:line="440" w:lineRule="exact"/>
              <w:jc w:val="left"/>
              <w:rPr>
                <w:rFonts w:ascii="宋体" w:hAnsi="宋体" w:cs="宋体"/>
                <w:position w:val="-2"/>
                <w:sz w:val="18"/>
                <w:szCs w:val="18"/>
              </w:rPr>
            </w:pPr>
          </w:p>
        </w:tc>
        <w:tc>
          <w:tcPr>
            <w:tcW w:w="354" w:type="pct"/>
          </w:tcPr>
          <w:p w14:paraId="43BFCDD6">
            <w:pPr>
              <w:spacing w:line="440" w:lineRule="exact"/>
              <w:jc w:val="left"/>
              <w:rPr>
                <w:rFonts w:ascii="宋体" w:hAnsi="宋体" w:cs="宋体"/>
                <w:position w:val="-2"/>
                <w:sz w:val="18"/>
                <w:szCs w:val="18"/>
              </w:rPr>
            </w:pPr>
          </w:p>
        </w:tc>
        <w:tc>
          <w:tcPr>
            <w:tcW w:w="354" w:type="pct"/>
          </w:tcPr>
          <w:p w14:paraId="3048609C">
            <w:pPr>
              <w:spacing w:line="440" w:lineRule="exact"/>
              <w:jc w:val="left"/>
              <w:rPr>
                <w:rFonts w:ascii="宋体" w:hAnsi="宋体" w:cs="宋体"/>
                <w:position w:val="-2"/>
                <w:sz w:val="18"/>
                <w:szCs w:val="18"/>
              </w:rPr>
            </w:pPr>
          </w:p>
        </w:tc>
        <w:tc>
          <w:tcPr>
            <w:tcW w:w="357" w:type="pct"/>
          </w:tcPr>
          <w:p w14:paraId="63AF20A7">
            <w:pPr>
              <w:spacing w:line="440" w:lineRule="exact"/>
              <w:jc w:val="left"/>
              <w:rPr>
                <w:rFonts w:ascii="宋体" w:hAnsi="宋体" w:cs="宋体"/>
                <w:position w:val="-2"/>
                <w:sz w:val="18"/>
                <w:szCs w:val="18"/>
              </w:rPr>
            </w:pPr>
          </w:p>
        </w:tc>
        <w:tc>
          <w:tcPr>
            <w:tcW w:w="357" w:type="pct"/>
          </w:tcPr>
          <w:p w14:paraId="50849AA8">
            <w:pPr>
              <w:spacing w:line="440" w:lineRule="exact"/>
              <w:jc w:val="left"/>
              <w:rPr>
                <w:rFonts w:ascii="宋体" w:hAnsi="宋体" w:cs="宋体"/>
                <w:position w:val="-2"/>
                <w:sz w:val="18"/>
                <w:szCs w:val="18"/>
              </w:rPr>
            </w:pPr>
          </w:p>
        </w:tc>
      </w:tr>
      <w:tr w14:paraId="23126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21B9C8CA">
            <w:pPr>
              <w:spacing w:line="440" w:lineRule="exact"/>
              <w:jc w:val="left"/>
              <w:rPr>
                <w:rFonts w:ascii="宋体" w:hAnsi="宋体" w:cs="宋体"/>
                <w:position w:val="-2"/>
                <w:sz w:val="18"/>
                <w:szCs w:val="18"/>
              </w:rPr>
            </w:pPr>
          </w:p>
        </w:tc>
        <w:tc>
          <w:tcPr>
            <w:tcW w:w="416" w:type="pct"/>
          </w:tcPr>
          <w:p w14:paraId="6F58A4E7">
            <w:pPr>
              <w:spacing w:line="440" w:lineRule="exact"/>
              <w:jc w:val="left"/>
              <w:rPr>
                <w:rFonts w:ascii="宋体" w:hAnsi="宋体" w:cs="宋体"/>
                <w:position w:val="-2"/>
                <w:sz w:val="18"/>
                <w:szCs w:val="18"/>
              </w:rPr>
            </w:pPr>
          </w:p>
        </w:tc>
        <w:tc>
          <w:tcPr>
            <w:tcW w:w="416" w:type="pct"/>
          </w:tcPr>
          <w:p w14:paraId="36BB229C">
            <w:pPr>
              <w:spacing w:line="440" w:lineRule="exact"/>
              <w:jc w:val="left"/>
              <w:rPr>
                <w:rFonts w:ascii="宋体" w:hAnsi="宋体" w:cs="宋体"/>
                <w:position w:val="-2"/>
                <w:sz w:val="18"/>
                <w:szCs w:val="18"/>
              </w:rPr>
            </w:pPr>
          </w:p>
        </w:tc>
        <w:tc>
          <w:tcPr>
            <w:tcW w:w="416" w:type="pct"/>
          </w:tcPr>
          <w:p w14:paraId="442B9BB4">
            <w:pPr>
              <w:spacing w:line="440" w:lineRule="exact"/>
              <w:jc w:val="left"/>
              <w:rPr>
                <w:rFonts w:ascii="宋体" w:hAnsi="宋体" w:cs="宋体"/>
                <w:position w:val="-2"/>
                <w:sz w:val="18"/>
                <w:szCs w:val="18"/>
              </w:rPr>
            </w:pPr>
          </w:p>
        </w:tc>
        <w:tc>
          <w:tcPr>
            <w:tcW w:w="353" w:type="pct"/>
          </w:tcPr>
          <w:p w14:paraId="58012AD8">
            <w:pPr>
              <w:spacing w:line="440" w:lineRule="exact"/>
              <w:jc w:val="left"/>
              <w:rPr>
                <w:rFonts w:ascii="宋体" w:hAnsi="宋体" w:cs="宋体"/>
                <w:position w:val="-2"/>
                <w:sz w:val="18"/>
                <w:szCs w:val="18"/>
              </w:rPr>
            </w:pPr>
          </w:p>
        </w:tc>
        <w:tc>
          <w:tcPr>
            <w:tcW w:w="249" w:type="pct"/>
          </w:tcPr>
          <w:p w14:paraId="3FD5943C">
            <w:pPr>
              <w:spacing w:line="440" w:lineRule="exact"/>
              <w:jc w:val="left"/>
              <w:rPr>
                <w:rFonts w:ascii="宋体" w:hAnsi="宋体" w:cs="宋体"/>
                <w:position w:val="-2"/>
                <w:sz w:val="18"/>
                <w:szCs w:val="18"/>
              </w:rPr>
            </w:pPr>
          </w:p>
        </w:tc>
        <w:tc>
          <w:tcPr>
            <w:tcW w:w="483" w:type="pct"/>
          </w:tcPr>
          <w:p w14:paraId="7FA48D9F">
            <w:pPr>
              <w:spacing w:line="440" w:lineRule="exact"/>
              <w:jc w:val="left"/>
              <w:rPr>
                <w:rFonts w:ascii="宋体" w:hAnsi="宋体" w:cs="宋体"/>
                <w:position w:val="-2"/>
                <w:sz w:val="18"/>
                <w:szCs w:val="18"/>
              </w:rPr>
            </w:pPr>
          </w:p>
        </w:tc>
        <w:tc>
          <w:tcPr>
            <w:tcW w:w="327" w:type="pct"/>
          </w:tcPr>
          <w:p w14:paraId="66DA0612">
            <w:pPr>
              <w:spacing w:line="440" w:lineRule="exact"/>
              <w:jc w:val="left"/>
              <w:rPr>
                <w:rFonts w:ascii="宋体" w:hAnsi="宋体" w:cs="宋体"/>
                <w:position w:val="-2"/>
                <w:sz w:val="18"/>
                <w:szCs w:val="18"/>
              </w:rPr>
            </w:pPr>
          </w:p>
        </w:tc>
        <w:tc>
          <w:tcPr>
            <w:tcW w:w="354" w:type="pct"/>
          </w:tcPr>
          <w:p w14:paraId="5527BD60">
            <w:pPr>
              <w:spacing w:line="440" w:lineRule="exact"/>
              <w:jc w:val="left"/>
              <w:rPr>
                <w:rFonts w:ascii="宋体" w:hAnsi="宋体" w:cs="宋体"/>
                <w:position w:val="-2"/>
                <w:sz w:val="18"/>
                <w:szCs w:val="18"/>
              </w:rPr>
            </w:pPr>
          </w:p>
        </w:tc>
        <w:tc>
          <w:tcPr>
            <w:tcW w:w="354" w:type="pct"/>
          </w:tcPr>
          <w:p w14:paraId="7098E7BC">
            <w:pPr>
              <w:spacing w:line="440" w:lineRule="exact"/>
              <w:jc w:val="left"/>
              <w:rPr>
                <w:rFonts w:ascii="宋体" w:hAnsi="宋体" w:cs="宋体"/>
                <w:position w:val="-2"/>
                <w:sz w:val="18"/>
                <w:szCs w:val="18"/>
              </w:rPr>
            </w:pPr>
          </w:p>
        </w:tc>
        <w:tc>
          <w:tcPr>
            <w:tcW w:w="354" w:type="pct"/>
          </w:tcPr>
          <w:p w14:paraId="34FF0BA9">
            <w:pPr>
              <w:spacing w:line="440" w:lineRule="exact"/>
              <w:jc w:val="left"/>
              <w:rPr>
                <w:rFonts w:ascii="宋体" w:hAnsi="宋体" w:cs="宋体"/>
                <w:position w:val="-2"/>
                <w:sz w:val="18"/>
                <w:szCs w:val="18"/>
              </w:rPr>
            </w:pPr>
          </w:p>
        </w:tc>
        <w:tc>
          <w:tcPr>
            <w:tcW w:w="354" w:type="pct"/>
          </w:tcPr>
          <w:p w14:paraId="376F2FAE">
            <w:pPr>
              <w:spacing w:line="440" w:lineRule="exact"/>
              <w:jc w:val="left"/>
              <w:rPr>
                <w:rFonts w:ascii="宋体" w:hAnsi="宋体" w:cs="宋体"/>
                <w:position w:val="-2"/>
                <w:sz w:val="18"/>
                <w:szCs w:val="18"/>
              </w:rPr>
            </w:pPr>
          </w:p>
        </w:tc>
        <w:tc>
          <w:tcPr>
            <w:tcW w:w="357" w:type="pct"/>
          </w:tcPr>
          <w:p w14:paraId="3F850585">
            <w:pPr>
              <w:spacing w:line="440" w:lineRule="exact"/>
              <w:jc w:val="left"/>
              <w:rPr>
                <w:rFonts w:ascii="宋体" w:hAnsi="宋体" w:cs="宋体"/>
                <w:position w:val="-2"/>
                <w:sz w:val="18"/>
                <w:szCs w:val="18"/>
              </w:rPr>
            </w:pPr>
          </w:p>
        </w:tc>
        <w:tc>
          <w:tcPr>
            <w:tcW w:w="357" w:type="pct"/>
          </w:tcPr>
          <w:p w14:paraId="6D319AF4">
            <w:pPr>
              <w:spacing w:line="440" w:lineRule="exact"/>
              <w:jc w:val="left"/>
              <w:rPr>
                <w:rFonts w:ascii="宋体" w:hAnsi="宋体" w:cs="宋体"/>
                <w:position w:val="-2"/>
                <w:sz w:val="18"/>
                <w:szCs w:val="18"/>
              </w:rPr>
            </w:pPr>
          </w:p>
        </w:tc>
      </w:tr>
      <w:tr w14:paraId="32297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134A42CF">
            <w:pPr>
              <w:spacing w:line="440" w:lineRule="exact"/>
              <w:jc w:val="left"/>
              <w:rPr>
                <w:rFonts w:ascii="宋体" w:hAnsi="宋体" w:cs="宋体"/>
                <w:position w:val="-2"/>
                <w:sz w:val="18"/>
                <w:szCs w:val="18"/>
              </w:rPr>
            </w:pPr>
          </w:p>
        </w:tc>
        <w:tc>
          <w:tcPr>
            <w:tcW w:w="416" w:type="pct"/>
          </w:tcPr>
          <w:p w14:paraId="22F1BDFE">
            <w:pPr>
              <w:spacing w:line="440" w:lineRule="exact"/>
              <w:jc w:val="left"/>
              <w:rPr>
                <w:rFonts w:ascii="宋体" w:hAnsi="宋体" w:cs="宋体"/>
                <w:position w:val="-2"/>
                <w:sz w:val="18"/>
                <w:szCs w:val="18"/>
              </w:rPr>
            </w:pPr>
          </w:p>
        </w:tc>
        <w:tc>
          <w:tcPr>
            <w:tcW w:w="416" w:type="pct"/>
          </w:tcPr>
          <w:p w14:paraId="2F1274FE">
            <w:pPr>
              <w:spacing w:line="440" w:lineRule="exact"/>
              <w:jc w:val="left"/>
              <w:rPr>
                <w:rFonts w:ascii="宋体" w:hAnsi="宋体" w:cs="宋体"/>
                <w:position w:val="-2"/>
                <w:sz w:val="18"/>
                <w:szCs w:val="18"/>
              </w:rPr>
            </w:pPr>
          </w:p>
        </w:tc>
        <w:tc>
          <w:tcPr>
            <w:tcW w:w="416" w:type="pct"/>
          </w:tcPr>
          <w:p w14:paraId="721F0531">
            <w:pPr>
              <w:spacing w:line="440" w:lineRule="exact"/>
              <w:jc w:val="left"/>
              <w:rPr>
                <w:rFonts w:ascii="宋体" w:hAnsi="宋体" w:cs="宋体"/>
                <w:position w:val="-2"/>
                <w:sz w:val="18"/>
                <w:szCs w:val="18"/>
              </w:rPr>
            </w:pPr>
          </w:p>
        </w:tc>
        <w:tc>
          <w:tcPr>
            <w:tcW w:w="353" w:type="pct"/>
          </w:tcPr>
          <w:p w14:paraId="2B172F99">
            <w:pPr>
              <w:spacing w:line="440" w:lineRule="exact"/>
              <w:jc w:val="left"/>
              <w:rPr>
                <w:rFonts w:ascii="宋体" w:hAnsi="宋体" w:cs="宋体"/>
                <w:position w:val="-2"/>
                <w:sz w:val="18"/>
                <w:szCs w:val="18"/>
              </w:rPr>
            </w:pPr>
          </w:p>
        </w:tc>
        <w:tc>
          <w:tcPr>
            <w:tcW w:w="249" w:type="pct"/>
          </w:tcPr>
          <w:p w14:paraId="3389D1BB">
            <w:pPr>
              <w:spacing w:line="440" w:lineRule="exact"/>
              <w:jc w:val="left"/>
              <w:rPr>
                <w:rFonts w:ascii="宋体" w:hAnsi="宋体" w:cs="宋体"/>
                <w:position w:val="-2"/>
                <w:sz w:val="18"/>
                <w:szCs w:val="18"/>
              </w:rPr>
            </w:pPr>
          </w:p>
        </w:tc>
        <w:tc>
          <w:tcPr>
            <w:tcW w:w="483" w:type="pct"/>
          </w:tcPr>
          <w:p w14:paraId="493FC1E8">
            <w:pPr>
              <w:spacing w:line="440" w:lineRule="exact"/>
              <w:jc w:val="left"/>
              <w:rPr>
                <w:rFonts w:ascii="宋体" w:hAnsi="宋体" w:cs="宋体"/>
                <w:position w:val="-2"/>
                <w:sz w:val="18"/>
                <w:szCs w:val="18"/>
              </w:rPr>
            </w:pPr>
          </w:p>
        </w:tc>
        <w:tc>
          <w:tcPr>
            <w:tcW w:w="327" w:type="pct"/>
          </w:tcPr>
          <w:p w14:paraId="2DFECC5B">
            <w:pPr>
              <w:spacing w:line="440" w:lineRule="exact"/>
              <w:jc w:val="left"/>
              <w:rPr>
                <w:rFonts w:ascii="宋体" w:hAnsi="宋体" w:cs="宋体"/>
                <w:position w:val="-2"/>
                <w:sz w:val="18"/>
                <w:szCs w:val="18"/>
              </w:rPr>
            </w:pPr>
          </w:p>
        </w:tc>
        <w:tc>
          <w:tcPr>
            <w:tcW w:w="354" w:type="pct"/>
          </w:tcPr>
          <w:p w14:paraId="22F28831">
            <w:pPr>
              <w:spacing w:line="440" w:lineRule="exact"/>
              <w:jc w:val="left"/>
              <w:rPr>
                <w:rFonts w:ascii="宋体" w:hAnsi="宋体" w:cs="宋体"/>
                <w:position w:val="-2"/>
                <w:sz w:val="18"/>
                <w:szCs w:val="18"/>
              </w:rPr>
            </w:pPr>
          </w:p>
        </w:tc>
        <w:tc>
          <w:tcPr>
            <w:tcW w:w="354" w:type="pct"/>
          </w:tcPr>
          <w:p w14:paraId="4D5F7E11">
            <w:pPr>
              <w:spacing w:line="440" w:lineRule="exact"/>
              <w:jc w:val="left"/>
              <w:rPr>
                <w:rFonts w:ascii="宋体" w:hAnsi="宋体" w:cs="宋体"/>
                <w:position w:val="-2"/>
                <w:sz w:val="18"/>
                <w:szCs w:val="18"/>
              </w:rPr>
            </w:pPr>
          </w:p>
        </w:tc>
        <w:tc>
          <w:tcPr>
            <w:tcW w:w="354" w:type="pct"/>
          </w:tcPr>
          <w:p w14:paraId="637429D7">
            <w:pPr>
              <w:spacing w:line="440" w:lineRule="exact"/>
              <w:jc w:val="left"/>
              <w:rPr>
                <w:rFonts w:ascii="宋体" w:hAnsi="宋体" w:cs="宋体"/>
                <w:position w:val="-2"/>
                <w:sz w:val="18"/>
                <w:szCs w:val="18"/>
              </w:rPr>
            </w:pPr>
          </w:p>
        </w:tc>
        <w:tc>
          <w:tcPr>
            <w:tcW w:w="354" w:type="pct"/>
          </w:tcPr>
          <w:p w14:paraId="7A760ADF">
            <w:pPr>
              <w:spacing w:line="440" w:lineRule="exact"/>
              <w:jc w:val="left"/>
              <w:rPr>
                <w:rFonts w:ascii="宋体" w:hAnsi="宋体" w:cs="宋体"/>
                <w:position w:val="-2"/>
                <w:sz w:val="18"/>
                <w:szCs w:val="18"/>
              </w:rPr>
            </w:pPr>
          </w:p>
        </w:tc>
        <w:tc>
          <w:tcPr>
            <w:tcW w:w="357" w:type="pct"/>
          </w:tcPr>
          <w:p w14:paraId="1D8C1130">
            <w:pPr>
              <w:spacing w:line="440" w:lineRule="exact"/>
              <w:jc w:val="left"/>
              <w:rPr>
                <w:rFonts w:ascii="宋体" w:hAnsi="宋体" w:cs="宋体"/>
                <w:position w:val="-2"/>
                <w:sz w:val="18"/>
                <w:szCs w:val="18"/>
              </w:rPr>
            </w:pPr>
          </w:p>
        </w:tc>
        <w:tc>
          <w:tcPr>
            <w:tcW w:w="357" w:type="pct"/>
          </w:tcPr>
          <w:p w14:paraId="217C21CD">
            <w:pPr>
              <w:spacing w:line="440" w:lineRule="exact"/>
              <w:jc w:val="left"/>
              <w:rPr>
                <w:rFonts w:ascii="宋体" w:hAnsi="宋体" w:cs="宋体"/>
                <w:position w:val="-2"/>
                <w:sz w:val="18"/>
                <w:szCs w:val="18"/>
              </w:rPr>
            </w:pPr>
          </w:p>
        </w:tc>
      </w:tr>
      <w:tr w14:paraId="2F0A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7B5E106B">
            <w:pPr>
              <w:spacing w:line="440" w:lineRule="exact"/>
              <w:jc w:val="left"/>
              <w:rPr>
                <w:rFonts w:ascii="宋体" w:hAnsi="宋体" w:cs="宋体"/>
                <w:position w:val="-2"/>
                <w:sz w:val="18"/>
                <w:szCs w:val="18"/>
              </w:rPr>
            </w:pPr>
          </w:p>
        </w:tc>
        <w:tc>
          <w:tcPr>
            <w:tcW w:w="416" w:type="pct"/>
          </w:tcPr>
          <w:p w14:paraId="62A8D028">
            <w:pPr>
              <w:spacing w:line="440" w:lineRule="exact"/>
              <w:jc w:val="left"/>
              <w:rPr>
                <w:rFonts w:ascii="宋体" w:hAnsi="宋体" w:cs="宋体"/>
                <w:position w:val="-2"/>
                <w:sz w:val="18"/>
                <w:szCs w:val="18"/>
              </w:rPr>
            </w:pPr>
          </w:p>
        </w:tc>
        <w:tc>
          <w:tcPr>
            <w:tcW w:w="416" w:type="pct"/>
          </w:tcPr>
          <w:p w14:paraId="01466EF8">
            <w:pPr>
              <w:spacing w:line="440" w:lineRule="exact"/>
              <w:jc w:val="left"/>
              <w:rPr>
                <w:rFonts w:ascii="宋体" w:hAnsi="宋体" w:cs="宋体"/>
                <w:position w:val="-2"/>
                <w:sz w:val="18"/>
                <w:szCs w:val="18"/>
              </w:rPr>
            </w:pPr>
          </w:p>
        </w:tc>
        <w:tc>
          <w:tcPr>
            <w:tcW w:w="416" w:type="pct"/>
          </w:tcPr>
          <w:p w14:paraId="061BCACF">
            <w:pPr>
              <w:spacing w:line="440" w:lineRule="exact"/>
              <w:jc w:val="left"/>
              <w:rPr>
                <w:rFonts w:ascii="宋体" w:hAnsi="宋体" w:cs="宋体"/>
                <w:position w:val="-2"/>
                <w:sz w:val="18"/>
                <w:szCs w:val="18"/>
              </w:rPr>
            </w:pPr>
          </w:p>
        </w:tc>
        <w:tc>
          <w:tcPr>
            <w:tcW w:w="353" w:type="pct"/>
          </w:tcPr>
          <w:p w14:paraId="734008D7">
            <w:pPr>
              <w:spacing w:line="440" w:lineRule="exact"/>
              <w:jc w:val="left"/>
              <w:rPr>
                <w:rFonts w:ascii="宋体" w:hAnsi="宋体" w:cs="宋体"/>
                <w:position w:val="-2"/>
                <w:sz w:val="18"/>
                <w:szCs w:val="18"/>
              </w:rPr>
            </w:pPr>
          </w:p>
        </w:tc>
        <w:tc>
          <w:tcPr>
            <w:tcW w:w="249" w:type="pct"/>
          </w:tcPr>
          <w:p w14:paraId="7AA01ACB">
            <w:pPr>
              <w:spacing w:line="440" w:lineRule="exact"/>
              <w:jc w:val="left"/>
              <w:rPr>
                <w:rFonts w:ascii="宋体" w:hAnsi="宋体" w:cs="宋体"/>
                <w:position w:val="-2"/>
                <w:sz w:val="18"/>
                <w:szCs w:val="18"/>
              </w:rPr>
            </w:pPr>
          </w:p>
        </w:tc>
        <w:tc>
          <w:tcPr>
            <w:tcW w:w="483" w:type="pct"/>
          </w:tcPr>
          <w:p w14:paraId="6B30D3E8">
            <w:pPr>
              <w:spacing w:line="440" w:lineRule="exact"/>
              <w:jc w:val="left"/>
              <w:rPr>
                <w:rFonts w:ascii="宋体" w:hAnsi="宋体" w:cs="宋体"/>
                <w:position w:val="-2"/>
                <w:sz w:val="18"/>
                <w:szCs w:val="18"/>
              </w:rPr>
            </w:pPr>
          </w:p>
        </w:tc>
        <w:tc>
          <w:tcPr>
            <w:tcW w:w="327" w:type="pct"/>
          </w:tcPr>
          <w:p w14:paraId="4B3E565A">
            <w:pPr>
              <w:spacing w:line="440" w:lineRule="exact"/>
              <w:jc w:val="left"/>
              <w:rPr>
                <w:rFonts w:ascii="宋体" w:hAnsi="宋体" w:cs="宋体"/>
                <w:position w:val="-2"/>
                <w:sz w:val="18"/>
                <w:szCs w:val="18"/>
              </w:rPr>
            </w:pPr>
          </w:p>
        </w:tc>
        <w:tc>
          <w:tcPr>
            <w:tcW w:w="354" w:type="pct"/>
          </w:tcPr>
          <w:p w14:paraId="3183AA44">
            <w:pPr>
              <w:spacing w:line="440" w:lineRule="exact"/>
              <w:jc w:val="left"/>
              <w:rPr>
                <w:rFonts w:ascii="宋体" w:hAnsi="宋体" w:cs="宋体"/>
                <w:position w:val="-2"/>
                <w:sz w:val="18"/>
                <w:szCs w:val="18"/>
              </w:rPr>
            </w:pPr>
          </w:p>
        </w:tc>
        <w:tc>
          <w:tcPr>
            <w:tcW w:w="354" w:type="pct"/>
          </w:tcPr>
          <w:p w14:paraId="2327B7F0">
            <w:pPr>
              <w:spacing w:line="440" w:lineRule="exact"/>
              <w:jc w:val="left"/>
              <w:rPr>
                <w:rFonts w:ascii="宋体" w:hAnsi="宋体" w:cs="宋体"/>
                <w:position w:val="-2"/>
                <w:sz w:val="18"/>
                <w:szCs w:val="18"/>
              </w:rPr>
            </w:pPr>
          </w:p>
        </w:tc>
        <w:tc>
          <w:tcPr>
            <w:tcW w:w="354" w:type="pct"/>
          </w:tcPr>
          <w:p w14:paraId="45C845BC">
            <w:pPr>
              <w:spacing w:line="440" w:lineRule="exact"/>
              <w:jc w:val="left"/>
              <w:rPr>
                <w:rFonts w:ascii="宋体" w:hAnsi="宋体" w:cs="宋体"/>
                <w:position w:val="-2"/>
                <w:sz w:val="18"/>
                <w:szCs w:val="18"/>
              </w:rPr>
            </w:pPr>
          </w:p>
        </w:tc>
        <w:tc>
          <w:tcPr>
            <w:tcW w:w="354" w:type="pct"/>
          </w:tcPr>
          <w:p w14:paraId="2F280514">
            <w:pPr>
              <w:spacing w:line="440" w:lineRule="exact"/>
              <w:jc w:val="left"/>
              <w:rPr>
                <w:rFonts w:ascii="宋体" w:hAnsi="宋体" w:cs="宋体"/>
                <w:position w:val="-2"/>
                <w:sz w:val="18"/>
                <w:szCs w:val="18"/>
              </w:rPr>
            </w:pPr>
          </w:p>
        </w:tc>
        <w:tc>
          <w:tcPr>
            <w:tcW w:w="357" w:type="pct"/>
          </w:tcPr>
          <w:p w14:paraId="2D57AA8E">
            <w:pPr>
              <w:spacing w:line="440" w:lineRule="exact"/>
              <w:jc w:val="left"/>
              <w:rPr>
                <w:rFonts w:ascii="宋体" w:hAnsi="宋体" w:cs="宋体"/>
                <w:position w:val="-2"/>
                <w:sz w:val="18"/>
                <w:szCs w:val="18"/>
              </w:rPr>
            </w:pPr>
          </w:p>
        </w:tc>
        <w:tc>
          <w:tcPr>
            <w:tcW w:w="357" w:type="pct"/>
          </w:tcPr>
          <w:p w14:paraId="1736DEB5">
            <w:pPr>
              <w:spacing w:line="440" w:lineRule="exact"/>
              <w:jc w:val="left"/>
              <w:rPr>
                <w:rFonts w:ascii="宋体" w:hAnsi="宋体" w:cs="宋体"/>
                <w:position w:val="-2"/>
                <w:sz w:val="18"/>
                <w:szCs w:val="18"/>
              </w:rPr>
            </w:pPr>
          </w:p>
        </w:tc>
      </w:tr>
      <w:tr w14:paraId="5A9E6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41D38758">
            <w:pPr>
              <w:spacing w:line="440" w:lineRule="exact"/>
              <w:jc w:val="left"/>
              <w:rPr>
                <w:rFonts w:ascii="宋体" w:hAnsi="宋体" w:cs="宋体"/>
                <w:position w:val="-2"/>
                <w:sz w:val="18"/>
                <w:szCs w:val="18"/>
              </w:rPr>
            </w:pPr>
          </w:p>
        </w:tc>
        <w:tc>
          <w:tcPr>
            <w:tcW w:w="416" w:type="pct"/>
          </w:tcPr>
          <w:p w14:paraId="6AFC17F4">
            <w:pPr>
              <w:spacing w:line="440" w:lineRule="exact"/>
              <w:jc w:val="left"/>
              <w:rPr>
                <w:rFonts w:ascii="宋体" w:hAnsi="宋体" w:cs="宋体"/>
                <w:position w:val="-2"/>
                <w:sz w:val="18"/>
                <w:szCs w:val="18"/>
              </w:rPr>
            </w:pPr>
          </w:p>
        </w:tc>
        <w:tc>
          <w:tcPr>
            <w:tcW w:w="416" w:type="pct"/>
          </w:tcPr>
          <w:p w14:paraId="642FD570">
            <w:pPr>
              <w:spacing w:line="440" w:lineRule="exact"/>
              <w:jc w:val="left"/>
              <w:rPr>
                <w:rFonts w:ascii="宋体" w:hAnsi="宋体" w:cs="宋体"/>
                <w:position w:val="-2"/>
                <w:sz w:val="18"/>
                <w:szCs w:val="18"/>
              </w:rPr>
            </w:pPr>
          </w:p>
        </w:tc>
        <w:tc>
          <w:tcPr>
            <w:tcW w:w="416" w:type="pct"/>
          </w:tcPr>
          <w:p w14:paraId="1A1C15D0">
            <w:pPr>
              <w:spacing w:line="440" w:lineRule="exact"/>
              <w:jc w:val="left"/>
              <w:rPr>
                <w:rFonts w:ascii="宋体" w:hAnsi="宋体" w:cs="宋体"/>
                <w:position w:val="-2"/>
                <w:sz w:val="18"/>
                <w:szCs w:val="18"/>
              </w:rPr>
            </w:pPr>
          </w:p>
        </w:tc>
        <w:tc>
          <w:tcPr>
            <w:tcW w:w="353" w:type="pct"/>
          </w:tcPr>
          <w:p w14:paraId="427D8429">
            <w:pPr>
              <w:spacing w:line="440" w:lineRule="exact"/>
              <w:jc w:val="left"/>
              <w:rPr>
                <w:rFonts w:ascii="宋体" w:hAnsi="宋体" w:cs="宋体"/>
                <w:position w:val="-2"/>
                <w:sz w:val="18"/>
                <w:szCs w:val="18"/>
              </w:rPr>
            </w:pPr>
          </w:p>
        </w:tc>
        <w:tc>
          <w:tcPr>
            <w:tcW w:w="249" w:type="pct"/>
          </w:tcPr>
          <w:p w14:paraId="6443EA31">
            <w:pPr>
              <w:spacing w:line="440" w:lineRule="exact"/>
              <w:jc w:val="left"/>
              <w:rPr>
                <w:rFonts w:ascii="宋体" w:hAnsi="宋体" w:cs="宋体"/>
                <w:position w:val="-2"/>
                <w:sz w:val="18"/>
                <w:szCs w:val="18"/>
              </w:rPr>
            </w:pPr>
          </w:p>
        </w:tc>
        <w:tc>
          <w:tcPr>
            <w:tcW w:w="483" w:type="pct"/>
          </w:tcPr>
          <w:p w14:paraId="1C7C36B7">
            <w:pPr>
              <w:spacing w:line="440" w:lineRule="exact"/>
              <w:jc w:val="left"/>
              <w:rPr>
                <w:rFonts w:ascii="宋体" w:hAnsi="宋体" w:cs="宋体"/>
                <w:position w:val="-2"/>
                <w:sz w:val="18"/>
                <w:szCs w:val="18"/>
              </w:rPr>
            </w:pPr>
          </w:p>
        </w:tc>
        <w:tc>
          <w:tcPr>
            <w:tcW w:w="327" w:type="pct"/>
          </w:tcPr>
          <w:p w14:paraId="644BC6F2">
            <w:pPr>
              <w:spacing w:line="440" w:lineRule="exact"/>
              <w:jc w:val="left"/>
              <w:rPr>
                <w:rFonts w:ascii="宋体" w:hAnsi="宋体" w:cs="宋体"/>
                <w:position w:val="-2"/>
                <w:sz w:val="18"/>
                <w:szCs w:val="18"/>
              </w:rPr>
            </w:pPr>
          </w:p>
        </w:tc>
        <w:tc>
          <w:tcPr>
            <w:tcW w:w="354" w:type="pct"/>
          </w:tcPr>
          <w:p w14:paraId="4A1C2228">
            <w:pPr>
              <w:spacing w:line="440" w:lineRule="exact"/>
              <w:jc w:val="left"/>
              <w:rPr>
                <w:rFonts w:ascii="宋体" w:hAnsi="宋体" w:cs="宋体"/>
                <w:position w:val="-2"/>
                <w:sz w:val="18"/>
                <w:szCs w:val="18"/>
              </w:rPr>
            </w:pPr>
          </w:p>
        </w:tc>
        <w:tc>
          <w:tcPr>
            <w:tcW w:w="354" w:type="pct"/>
          </w:tcPr>
          <w:p w14:paraId="3457361E">
            <w:pPr>
              <w:spacing w:line="440" w:lineRule="exact"/>
              <w:jc w:val="left"/>
              <w:rPr>
                <w:rFonts w:ascii="宋体" w:hAnsi="宋体" w:cs="宋体"/>
                <w:position w:val="-2"/>
                <w:sz w:val="18"/>
                <w:szCs w:val="18"/>
              </w:rPr>
            </w:pPr>
          </w:p>
        </w:tc>
        <w:tc>
          <w:tcPr>
            <w:tcW w:w="354" w:type="pct"/>
          </w:tcPr>
          <w:p w14:paraId="10C3F1B8">
            <w:pPr>
              <w:spacing w:line="440" w:lineRule="exact"/>
              <w:jc w:val="left"/>
              <w:rPr>
                <w:rFonts w:ascii="宋体" w:hAnsi="宋体" w:cs="宋体"/>
                <w:position w:val="-2"/>
                <w:sz w:val="18"/>
                <w:szCs w:val="18"/>
              </w:rPr>
            </w:pPr>
          </w:p>
        </w:tc>
        <w:tc>
          <w:tcPr>
            <w:tcW w:w="354" w:type="pct"/>
          </w:tcPr>
          <w:p w14:paraId="481CEAFF">
            <w:pPr>
              <w:spacing w:line="440" w:lineRule="exact"/>
              <w:jc w:val="left"/>
              <w:rPr>
                <w:rFonts w:ascii="宋体" w:hAnsi="宋体" w:cs="宋体"/>
                <w:position w:val="-2"/>
                <w:sz w:val="18"/>
                <w:szCs w:val="18"/>
              </w:rPr>
            </w:pPr>
          </w:p>
        </w:tc>
        <w:tc>
          <w:tcPr>
            <w:tcW w:w="357" w:type="pct"/>
          </w:tcPr>
          <w:p w14:paraId="18701999">
            <w:pPr>
              <w:spacing w:line="440" w:lineRule="exact"/>
              <w:jc w:val="left"/>
              <w:rPr>
                <w:rFonts w:ascii="宋体" w:hAnsi="宋体" w:cs="宋体"/>
                <w:position w:val="-2"/>
                <w:sz w:val="18"/>
                <w:szCs w:val="18"/>
              </w:rPr>
            </w:pPr>
          </w:p>
        </w:tc>
        <w:tc>
          <w:tcPr>
            <w:tcW w:w="357" w:type="pct"/>
          </w:tcPr>
          <w:p w14:paraId="1F92B7B5">
            <w:pPr>
              <w:spacing w:line="440" w:lineRule="exact"/>
              <w:jc w:val="left"/>
              <w:rPr>
                <w:rFonts w:ascii="宋体" w:hAnsi="宋体" w:cs="宋体"/>
                <w:position w:val="-2"/>
                <w:sz w:val="18"/>
                <w:szCs w:val="18"/>
              </w:rPr>
            </w:pPr>
          </w:p>
        </w:tc>
      </w:tr>
      <w:tr w14:paraId="081B5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0AACAB40">
            <w:pPr>
              <w:spacing w:line="440" w:lineRule="exact"/>
              <w:jc w:val="left"/>
              <w:rPr>
                <w:rFonts w:ascii="宋体" w:hAnsi="宋体" w:cs="宋体"/>
                <w:position w:val="-2"/>
                <w:sz w:val="18"/>
                <w:szCs w:val="18"/>
              </w:rPr>
            </w:pPr>
          </w:p>
        </w:tc>
        <w:tc>
          <w:tcPr>
            <w:tcW w:w="416" w:type="pct"/>
          </w:tcPr>
          <w:p w14:paraId="1D32665B">
            <w:pPr>
              <w:spacing w:line="440" w:lineRule="exact"/>
              <w:jc w:val="left"/>
              <w:rPr>
                <w:rFonts w:ascii="宋体" w:hAnsi="宋体" w:cs="宋体"/>
                <w:position w:val="-2"/>
                <w:sz w:val="18"/>
                <w:szCs w:val="18"/>
              </w:rPr>
            </w:pPr>
          </w:p>
        </w:tc>
        <w:tc>
          <w:tcPr>
            <w:tcW w:w="416" w:type="pct"/>
          </w:tcPr>
          <w:p w14:paraId="318D7C10">
            <w:pPr>
              <w:spacing w:line="440" w:lineRule="exact"/>
              <w:jc w:val="left"/>
              <w:rPr>
                <w:rFonts w:ascii="宋体" w:hAnsi="宋体" w:cs="宋体"/>
                <w:position w:val="-2"/>
                <w:sz w:val="18"/>
                <w:szCs w:val="18"/>
              </w:rPr>
            </w:pPr>
          </w:p>
        </w:tc>
        <w:tc>
          <w:tcPr>
            <w:tcW w:w="416" w:type="pct"/>
          </w:tcPr>
          <w:p w14:paraId="1BDD44D6">
            <w:pPr>
              <w:spacing w:line="440" w:lineRule="exact"/>
              <w:jc w:val="left"/>
              <w:rPr>
                <w:rFonts w:ascii="宋体" w:hAnsi="宋体" w:cs="宋体"/>
                <w:position w:val="-2"/>
                <w:sz w:val="18"/>
                <w:szCs w:val="18"/>
              </w:rPr>
            </w:pPr>
          </w:p>
        </w:tc>
        <w:tc>
          <w:tcPr>
            <w:tcW w:w="353" w:type="pct"/>
          </w:tcPr>
          <w:p w14:paraId="12A6831D">
            <w:pPr>
              <w:spacing w:line="440" w:lineRule="exact"/>
              <w:jc w:val="left"/>
              <w:rPr>
                <w:rFonts w:ascii="宋体" w:hAnsi="宋体" w:cs="宋体"/>
                <w:position w:val="-2"/>
                <w:sz w:val="18"/>
                <w:szCs w:val="18"/>
              </w:rPr>
            </w:pPr>
          </w:p>
        </w:tc>
        <w:tc>
          <w:tcPr>
            <w:tcW w:w="249" w:type="pct"/>
          </w:tcPr>
          <w:p w14:paraId="190099F3">
            <w:pPr>
              <w:spacing w:line="440" w:lineRule="exact"/>
              <w:jc w:val="left"/>
              <w:rPr>
                <w:rFonts w:ascii="宋体" w:hAnsi="宋体" w:cs="宋体"/>
                <w:position w:val="-2"/>
                <w:sz w:val="18"/>
                <w:szCs w:val="18"/>
              </w:rPr>
            </w:pPr>
          </w:p>
        </w:tc>
        <w:tc>
          <w:tcPr>
            <w:tcW w:w="483" w:type="pct"/>
          </w:tcPr>
          <w:p w14:paraId="471EAB69">
            <w:pPr>
              <w:spacing w:line="440" w:lineRule="exact"/>
              <w:jc w:val="left"/>
              <w:rPr>
                <w:rFonts w:ascii="宋体" w:hAnsi="宋体" w:cs="宋体"/>
                <w:position w:val="-2"/>
                <w:sz w:val="18"/>
                <w:szCs w:val="18"/>
              </w:rPr>
            </w:pPr>
          </w:p>
        </w:tc>
        <w:tc>
          <w:tcPr>
            <w:tcW w:w="327" w:type="pct"/>
          </w:tcPr>
          <w:p w14:paraId="7EA2B475">
            <w:pPr>
              <w:spacing w:line="440" w:lineRule="exact"/>
              <w:jc w:val="left"/>
              <w:rPr>
                <w:rFonts w:ascii="宋体" w:hAnsi="宋体" w:cs="宋体"/>
                <w:position w:val="-2"/>
                <w:sz w:val="18"/>
                <w:szCs w:val="18"/>
              </w:rPr>
            </w:pPr>
          </w:p>
        </w:tc>
        <w:tc>
          <w:tcPr>
            <w:tcW w:w="354" w:type="pct"/>
          </w:tcPr>
          <w:p w14:paraId="42F1DA20">
            <w:pPr>
              <w:spacing w:line="440" w:lineRule="exact"/>
              <w:jc w:val="left"/>
              <w:rPr>
                <w:rFonts w:ascii="宋体" w:hAnsi="宋体" w:cs="宋体"/>
                <w:position w:val="-2"/>
                <w:sz w:val="18"/>
                <w:szCs w:val="18"/>
              </w:rPr>
            </w:pPr>
          </w:p>
        </w:tc>
        <w:tc>
          <w:tcPr>
            <w:tcW w:w="354" w:type="pct"/>
          </w:tcPr>
          <w:p w14:paraId="5349CD93">
            <w:pPr>
              <w:spacing w:line="440" w:lineRule="exact"/>
              <w:jc w:val="left"/>
              <w:rPr>
                <w:rFonts w:ascii="宋体" w:hAnsi="宋体" w:cs="宋体"/>
                <w:position w:val="-2"/>
                <w:sz w:val="18"/>
                <w:szCs w:val="18"/>
              </w:rPr>
            </w:pPr>
          </w:p>
        </w:tc>
        <w:tc>
          <w:tcPr>
            <w:tcW w:w="354" w:type="pct"/>
          </w:tcPr>
          <w:p w14:paraId="516052F9">
            <w:pPr>
              <w:spacing w:line="440" w:lineRule="exact"/>
              <w:jc w:val="left"/>
              <w:rPr>
                <w:rFonts w:ascii="宋体" w:hAnsi="宋体" w:cs="宋体"/>
                <w:position w:val="-2"/>
                <w:sz w:val="18"/>
                <w:szCs w:val="18"/>
              </w:rPr>
            </w:pPr>
          </w:p>
        </w:tc>
        <w:tc>
          <w:tcPr>
            <w:tcW w:w="354" w:type="pct"/>
          </w:tcPr>
          <w:p w14:paraId="775BFABD">
            <w:pPr>
              <w:spacing w:line="440" w:lineRule="exact"/>
              <w:jc w:val="left"/>
              <w:rPr>
                <w:rFonts w:ascii="宋体" w:hAnsi="宋体" w:cs="宋体"/>
                <w:position w:val="-2"/>
                <w:sz w:val="18"/>
                <w:szCs w:val="18"/>
              </w:rPr>
            </w:pPr>
          </w:p>
        </w:tc>
        <w:tc>
          <w:tcPr>
            <w:tcW w:w="357" w:type="pct"/>
          </w:tcPr>
          <w:p w14:paraId="1EAF0E29">
            <w:pPr>
              <w:spacing w:line="440" w:lineRule="exact"/>
              <w:jc w:val="left"/>
              <w:rPr>
                <w:rFonts w:ascii="宋体" w:hAnsi="宋体" w:cs="宋体"/>
                <w:position w:val="-2"/>
                <w:sz w:val="18"/>
                <w:szCs w:val="18"/>
              </w:rPr>
            </w:pPr>
          </w:p>
        </w:tc>
        <w:tc>
          <w:tcPr>
            <w:tcW w:w="357" w:type="pct"/>
          </w:tcPr>
          <w:p w14:paraId="3CBF0B25">
            <w:pPr>
              <w:spacing w:line="440" w:lineRule="exact"/>
              <w:jc w:val="left"/>
              <w:rPr>
                <w:rFonts w:ascii="宋体" w:hAnsi="宋体" w:cs="宋体"/>
                <w:position w:val="-2"/>
                <w:sz w:val="18"/>
                <w:szCs w:val="18"/>
              </w:rPr>
            </w:pPr>
          </w:p>
        </w:tc>
      </w:tr>
      <w:tr w14:paraId="303FF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1B39AE7B">
            <w:pPr>
              <w:spacing w:line="440" w:lineRule="exact"/>
              <w:jc w:val="left"/>
              <w:rPr>
                <w:rFonts w:ascii="宋体" w:hAnsi="宋体" w:cs="宋体"/>
                <w:position w:val="-2"/>
                <w:sz w:val="18"/>
                <w:szCs w:val="18"/>
              </w:rPr>
            </w:pPr>
          </w:p>
        </w:tc>
        <w:tc>
          <w:tcPr>
            <w:tcW w:w="416" w:type="pct"/>
          </w:tcPr>
          <w:p w14:paraId="0EE76952">
            <w:pPr>
              <w:spacing w:line="440" w:lineRule="exact"/>
              <w:jc w:val="left"/>
              <w:rPr>
                <w:rFonts w:ascii="宋体" w:hAnsi="宋体" w:cs="宋体"/>
                <w:position w:val="-2"/>
                <w:sz w:val="18"/>
                <w:szCs w:val="18"/>
              </w:rPr>
            </w:pPr>
          </w:p>
        </w:tc>
        <w:tc>
          <w:tcPr>
            <w:tcW w:w="416" w:type="pct"/>
          </w:tcPr>
          <w:p w14:paraId="5EC030F3">
            <w:pPr>
              <w:spacing w:line="440" w:lineRule="exact"/>
              <w:jc w:val="left"/>
              <w:rPr>
                <w:rFonts w:ascii="宋体" w:hAnsi="宋体" w:cs="宋体"/>
                <w:position w:val="-2"/>
                <w:sz w:val="18"/>
                <w:szCs w:val="18"/>
              </w:rPr>
            </w:pPr>
          </w:p>
        </w:tc>
        <w:tc>
          <w:tcPr>
            <w:tcW w:w="416" w:type="pct"/>
          </w:tcPr>
          <w:p w14:paraId="0E22C308">
            <w:pPr>
              <w:spacing w:line="440" w:lineRule="exact"/>
              <w:jc w:val="left"/>
              <w:rPr>
                <w:rFonts w:ascii="宋体" w:hAnsi="宋体" w:cs="宋体"/>
                <w:position w:val="-2"/>
                <w:sz w:val="18"/>
                <w:szCs w:val="18"/>
              </w:rPr>
            </w:pPr>
          </w:p>
        </w:tc>
        <w:tc>
          <w:tcPr>
            <w:tcW w:w="353" w:type="pct"/>
          </w:tcPr>
          <w:p w14:paraId="66A0BAD5">
            <w:pPr>
              <w:spacing w:line="440" w:lineRule="exact"/>
              <w:jc w:val="left"/>
              <w:rPr>
                <w:rFonts w:ascii="宋体" w:hAnsi="宋体" w:cs="宋体"/>
                <w:position w:val="-2"/>
                <w:sz w:val="18"/>
                <w:szCs w:val="18"/>
              </w:rPr>
            </w:pPr>
          </w:p>
        </w:tc>
        <w:tc>
          <w:tcPr>
            <w:tcW w:w="249" w:type="pct"/>
          </w:tcPr>
          <w:p w14:paraId="3F2C6EAC">
            <w:pPr>
              <w:spacing w:line="440" w:lineRule="exact"/>
              <w:jc w:val="left"/>
              <w:rPr>
                <w:rFonts w:ascii="宋体" w:hAnsi="宋体" w:cs="宋体"/>
                <w:position w:val="-2"/>
                <w:sz w:val="18"/>
                <w:szCs w:val="18"/>
              </w:rPr>
            </w:pPr>
          </w:p>
        </w:tc>
        <w:tc>
          <w:tcPr>
            <w:tcW w:w="483" w:type="pct"/>
          </w:tcPr>
          <w:p w14:paraId="269E888A">
            <w:pPr>
              <w:spacing w:line="440" w:lineRule="exact"/>
              <w:jc w:val="left"/>
              <w:rPr>
                <w:rFonts w:ascii="宋体" w:hAnsi="宋体" w:cs="宋体"/>
                <w:position w:val="-2"/>
                <w:sz w:val="18"/>
                <w:szCs w:val="18"/>
              </w:rPr>
            </w:pPr>
          </w:p>
        </w:tc>
        <w:tc>
          <w:tcPr>
            <w:tcW w:w="327" w:type="pct"/>
          </w:tcPr>
          <w:p w14:paraId="2AE8D79F">
            <w:pPr>
              <w:spacing w:line="440" w:lineRule="exact"/>
              <w:jc w:val="left"/>
              <w:rPr>
                <w:rFonts w:ascii="宋体" w:hAnsi="宋体" w:cs="宋体"/>
                <w:position w:val="-2"/>
                <w:sz w:val="18"/>
                <w:szCs w:val="18"/>
              </w:rPr>
            </w:pPr>
          </w:p>
        </w:tc>
        <w:tc>
          <w:tcPr>
            <w:tcW w:w="354" w:type="pct"/>
          </w:tcPr>
          <w:p w14:paraId="41A4BF29">
            <w:pPr>
              <w:spacing w:line="440" w:lineRule="exact"/>
              <w:jc w:val="left"/>
              <w:rPr>
                <w:rFonts w:ascii="宋体" w:hAnsi="宋体" w:cs="宋体"/>
                <w:position w:val="-2"/>
                <w:sz w:val="18"/>
                <w:szCs w:val="18"/>
              </w:rPr>
            </w:pPr>
          </w:p>
        </w:tc>
        <w:tc>
          <w:tcPr>
            <w:tcW w:w="354" w:type="pct"/>
          </w:tcPr>
          <w:p w14:paraId="68465DE9">
            <w:pPr>
              <w:spacing w:line="440" w:lineRule="exact"/>
              <w:jc w:val="left"/>
              <w:rPr>
                <w:rFonts w:ascii="宋体" w:hAnsi="宋体" w:cs="宋体"/>
                <w:position w:val="-2"/>
                <w:sz w:val="18"/>
                <w:szCs w:val="18"/>
              </w:rPr>
            </w:pPr>
          </w:p>
        </w:tc>
        <w:tc>
          <w:tcPr>
            <w:tcW w:w="354" w:type="pct"/>
          </w:tcPr>
          <w:p w14:paraId="6E8DA190">
            <w:pPr>
              <w:spacing w:line="440" w:lineRule="exact"/>
              <w:jc w:val="left"/>
              <w:rPr>
                <w:rFonts w:ascii="宋体" w:hAnsi="宋体" w:cs="宋体"/>
                <w:position w:val="-2"/>
                <w:sz w:val="18"/>
                <w:szCs w:val="18"/>
              </w:rPr>
            </w:pPr>
          </w:p>
        </w:tc>
        <w:tc>
          <w:tcPr>
            <w:tcW w:w="354" w:type="pct"/>
          </w:tcPr>
          <w:p w14:paraId="4A7BFD0F">
            <w:pPr>
              <w:spacing w:line="440" w:lineRule="exact"/>
              <w:jc w:val="left"/>
              <w:rPr>
                <w:rFonts w:ascii="宋体" w:hAnsi="宋体" w:cs="宋体"/>
                <w:position w:val="-2"/>
                <w:sz w:val="18"/>
                <w:szCs w:val="18"/>
              </w:rPr>
            </w:pPr>
          </w:p>
        </w:tc>
        <w:tc>
          <w:tcPr>
            <w:tcW w:w="357" w:type="pct"/>
          </w:tcPr>
          <w:p w14:paraId="11A80A15">
            <w:pPr>
              <w:spacing w:line="440" w:lineRule="exact"/>
              <w:jc w:val="left"/>
              <w:rPr>
                <w:rFonts w:ascii="宋体" w:hAnsi="宋体" w:cs="宋体"/>
                <w:position w:val="-2"/>
                <w:sz w:val="18"/>
                <w:szCs w:val="18"/>
              </w:rPr>
            </w:pPr>
          </w:p>
        </w:tc>
        <w:tc>
          <w:tcPr>
            <w:tcW w:w="357" w:type="pct"/>
          </w:tcPr>
          <w:p w14:paraId="7697951A">
            <w:pPr>
              <w:spacing w:line="440" w:lineRule="exact"/>
              <w:jc w:val="left"/>
              <w:rPr>
                <w:rFonts w:ascii="宋体" w:hAnsi="宋体" w:cs="宋体"/>
                <w:position w:val="-2"/>
                <w:sz w:val="18"/>
                <w:szCs w:val="18"/>
              </w:rPr>
            </w:pPr>
          </w:p>
        </w:tc>
      </w:tr>
      <w:tr w14:paraId="096E3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223DAC36">
            <w:pPr>
              <w:spacing w:line="440" w:lineRule="exact"/>
              <w:jc w:val="left"/>
              <w:rPr>
                <w:rFonts w:ascii="宋体" w:hAnsi="宋体" w:cs="宋体"/>
                <w:position w:val="-2"/>
                <w:sz w:val="18"/>
                <w:szCs w:val="18"/>
              </w:rPr>
            </w:pPr>
          </w:p>
        </w:tc>
        <w:tc>
          <w:tcPr>
            <w:tcW w:w="416" w:type="pct"/>
          </w:tcPr>
          <w:p w14:paraId="3304515C">
            <w:pPr>
              <w:spacing w:line="440" w:lineRule="exact"/>
              <w:jc w:val="left"/>
              <w:rPr>
                <w:rFonts w:ascii="宋体" w:hAnsi="宋体" w:cs="宋体"/>
                <w:position w:val="-2"/>
                <w:sz w:val="18"/>
                <w:szCs w:val="18"/>
              </w:rPr>
            </w:pPr>
          </w:p>
        </w:tc>
        <w:tc>
          <w:tcPr>
            <w:tcW w:w="416" w:type="pct"/>
          </w:tcPr>
          <w:p w14:paraId="47B203AC">
            <w:pPr>
              <w:spacing w:line="440" w:lineRule="exact"/>
              <w:jc w:val="left"/>
              <w:rPr>
                <w:rFonts w:ascii="宋体" w:hAnsi="宋体" w:cs="宋体"/>
                <w:position w:val="-2"/>
                <w:sz w:val="18"/>
                <w:szCs w:val="18"/>
              </w:rPr>
            </w:pPr>
          </w:p>
        </w:tc>
        <w:tc>
          <w:tcPr>
            <w:tcW w:w="416" w:type="pct"/>
          </w:tcPr>
          <w:p w14:paraId="1343C1BE">
            <w:pPr>
              <w:spacing w:line="440" w:lineRule="exact"/>
              <w:jc w:val="left"/>
              <w:rPr>
                <w:rFonts w:ascii="宋体" w:hAnsi="宋体" w:cs="宋体"/>
                <w:position w:val="-2"/>
                <w:sz w:val="18"/>
                <w:szCs w:val="18"/>
              </w:rPr>
            </w:pPr>
          </w:p>
        </w:tc>
        <w:tc>
          <w:tcPr>
            <w:tcW w:w="353" w:type="pct"/>
          </w:tcPr>
          <w:p w14:paraId="296C4AD9">
            <w:pPr>
              <w:spacing w:line="440" w:lineRule="exact"/>
              <w:jc w:val="left"/>
              <w:rPr>
                <w:rFonts w:ascii="宋体" w:hAnsi="宋体" w:cs="宋体"/>
                <w:position w:val="-2"/>
                <w:sz w:val="18"/>
                <w:szCs w:val="18"/>
              </w:rPr>
            </w:pPr>
          </w:p>
        </w:tc>
        <w:tc>
          <w:tcPr>
            <w:tcW w:w="249" w:type="pct"/>
          </w:tcPr>
          <w:p w14:paraId="3A8042D8">
            <w:pPr>
              <w:spacing w:line="440" w:lineRule="exact"/>
              <w:jc w:val="left"/>
              <w:rPr>
                <w:rFonts w:ascii="宋体" w:hAnsi="宋体" w:cs="宋体"/>
                <w:position w:val="-2"/>
                <w:sz w:val="18"/>
                <w:szCs w:val="18"/>
              </w:rPr>
            </w:pPr>
          </w:p>
        </w:tc>
        <w:tc>
          <w:tcPr>
            <w:tcW w:w="483" w:type="pct"/>
          </w:tcPr>
          <w:p w14:paraId="65913467">
            <w:pPr>
              <w:spacing w:line="440" w:lineRule="exact"/>
              <w:jc w:val="left"/>
              <w:rPr>
                <w:rFonts w:ascii="宋体" w:hAnsi="宋体" w:cs="宋体"/>
                <w:position w:val="-2"/>
                <w:sz w:val="18"/>
                <w:szCs w:val="18"/>
              </w:rPr>
            </w:pPr>
          </w:p>
        </w:tc>
        <w:tc>
          <w:tcPr>
            <w:tcW w:w="327" w:type="pct"/>
          </w:tcPr>
          <w:p w14:paraId="0E944EC1">
            <w:pPr>
              <w:spacing w:line="440" w:lineRule="exact"/>
              <w:jc w:val="left"/>
              <w:rPr>
                <w:rFonts w:ascii="宋体" w:hAnsi="宋体" w:cs="宋体"/>
                <w:position w:val="-2"/>
                <w:sz w:val="18"/>
                <w:szCs w:val="18"/>
              </w:rPr>
            </w:pPr>
          </w:p>
        </w:tc>
        <w:tc>
          <w:tcPr>
            <w:tcW w:w="354" w:type="pct"/>
          </w:tcPr>
          <w:p w14:paraId="6A9DF4D6">
            <w:pPr>
              <w:spacing w:line="440" w:lineRule="exact"/>
              <w:jc w:val="left"/>
              <w:rPr>
                <w:rFonts w:ascii="宋体" w:hAnsi="宋体" w:cs="宋体"/>
                <w:position w:val="-2"/>
                <w:sz w:val="18"/>
                <w:szCs w:val="18"/>
              </w:rPr>
            </w:pPr>
          </w:p>
        </w:tc>
        <w:tc>
          <w:tcPr>
            <w:tcW w:w="354" w:type="pct"/>
          </w:tcPr>
          <w:p w14:paraId="48C6B4D2">
            <w:pPr>
              <w:spacing w:line="440" w:lineRule="exact"/>
              <w:jc w:val="left"/>
              <w:rPr>
                <w:rFonts w:ascii="宋体" w:hAnsi="宋体" w:cs="宋体"/>
                <w:position w:val="-2"/>
                <w:sz w:val="18"/>
                <w:szCs w:val="18"/>
              </w:rPr>
            </w:pPr>
          </w:p>
        </w:tc>
        <w:tc>
          <w:tcPr>
            <w:tcW w:w="354" w:type="pct"/>
          </w:tcPr>
          <w:p w14:paraId="0A13B888">
            <w:pPr>
              <w:spacing w:line="440" w:lineRule="exact"/>
              <w:jc w:val="left"/>
              <w:rPr>
                <w:rFonts w:ascii="宋体" w:hAnsi="宋体" w:cs="宋体"/>
                <w:position w:val="-2"/>
                <w:sz w:val="18"/>
                <w:szCs w:val="18"/>
              </w:rPr>
            </w:pPr>
          </w:p>
        </w:tc>
        <w:tc>
          <w:tcPr>
            <w:tcW w:w="354" w:type="pct"/>
          </w:tcPr>
          <w:p w14:paraId="319ADD86">
            <w:pPr>
              <w:spacing w:line="440" w:lineRule="exact"/>
              <w:jc w:val="left"/>
              <w:rPr>
                <w:rFonts w:ascii="宋体" w:hAnsi="宋体" w:cs="宋体"/>
                <w:position w:val="-2"/>
                <w:sz w:val="18"/>
                <w:szCs w:val="18"/>
              </w:rPr>
            </w:pPr>
          </w:p>
        </w:tc>
        <w:tc>
          <w:tcPr>
            <w:tcW w:w="357" w:type="pct"/>
          </w:tcPr>
          <w:p w14:paraId="1D31264A">
            <w:pPr>
              <w:spacing w:line="440" w:lineRule="exact"/>
              <w:jc w:val="left"/>
              <w:rPr>
                <w:rFonts w:ascii="宋体" w:hAnsi="宋体" w:cs="宋体"/>
                <w:position w:val="-2"/>
                <w:sz w:val="18"/>
                <w:szCs w:val="18"/>
              </w:rPr>
            </w:pPr>
          </w:p>
        </w:tc>
        <w:tc>
          <w:tcPr>
            <w:tcW w:w="357" w:type="pct"/>
          </w:tcPr>
          <w:p w14:paraId="019698BD">
            <w:pPr>
              <w:spacing w:line="440" w:lineRule="exact"/>
              <w:jc w:val="left"/>
              <w:rPr>
                <w:rFonts w:ascii="宋体" w:hAnsi="宋体" w:cs="宋体"/>
                <w:position w:val="-2"/>
                <w:sz w:val="18"/>
                <w:szCs w:val="18"/>
              </w:rPr>
            </w:pPr>
          </w:p>
        </w:tc>
      </w:tr>
      <w:tr w14:paraId="12B74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63922A90">
            <w:pPr>
              <w:spacing w:line="440" w:lineRule="exact"/>
              <w:jc w:val="left"/>
              <w:rPr>
                <w:rFonts w:ascii="宋体" w:hAnsi="宋体" w:cs="宋体"/>
                <w:position w:val="-2"/>
                <w:sz w:val="18"/>
                <w:szCs w:val="18"/>
              </w:rPr>
            </w:pPr>
          </w:p>
        </w:tc>
        <w:tc>
          <w:tcPr>
            <w:tcW w:w="416" w:type="pct"/>
          </w:tcPr>
          <w:p w14:paraId="7977B1E9">
            <w:pPr>
              <w:spacing w:line="440" w:lineRule="exact"/>
              <w:jc w:val="left"/>
              <w:rPr>
                <w:rFonts w:ascii="宋体" w:hAnsi="宋体" w:cs="宋体"/>
                <w:position w:val="-2"/>
                <w:sz w:val="18"/>
                <w:szCs w:val="18"/>
              </w:rPr>
            </w:pPr>
          </w:p>
        </w:tc>
        <w:tc>
          <w:tcPr>
            <w:tcW w:w="416" w:type="pct"/>
          </w:tcPr>
          <w:p w14:paraId="7FF126D6">
            <w:pPr>
              <w:spacing w:line="440" w:lineRule="exact"/>
              <w:jc w:val="left"/>
              <w:rPr>
                <w:rFonts w:ascii="宋体" w:hAnsi="宋体" w:cs="宋体"/>
                <w:position w:val="-2"/>
                <w:sz w:val="18"/>
                <w:szCs w:val="18"/>
              </w:rPr>
            </w:pPr>
          </w:p>
        </w:tc>
        <w:tc>
          <w:tcPr>
            <w:tcW w:w="416" w:type="pct"/>
          </w:tcPr>
          <w:p w14:paraId="616BCEDC">
            <w:pPr>
              <w:spacing w:line="440" w:lineRule="exact"/>
              <w:jc w:val="left"/>
              <w:rPr>
                <w:rFonts w:ascii="宋体" w:hAnsi="宋体" w:cs="宋体"/>
                <w:position w:val="-2"/>
                <w:sz w:val="18"/>
                <w:szCs w:val="18"/>
              </w:rPr>
            </w:pPr>
          </w:p>
        </w:tc>
        <w:tc>
          <w:tcPr>
            <w:tcW w:w="353" w:type="pct"/>
          </w:tcPr>
          <w:p w14:paraId="7FEBB625">
            <w:pPr>
              <w:spacing w:line="440" w:lineRule="exact"/>
              <w:jc w:val="left"/>
              <w:rPr>
                <w:rFonts w:ascii="宋体" w:hAnsi="宋体" w:cs="宋体"/>
                <w:position w:val="-2"/>
                <w:sz w:val="18"/>
                <w:szCs w:val="18"/>
              </w:rPr>
            </w:pPr>
          </w:p>
        </w:tc>
        <w:tc>
          <w:tcPr>
            <w:tcW w:w="249" w:type="pct"/>
          </w:tcPr>
          <w:p w14:paraId="10B79CAF">
            <w:pPr>
              <w:spacing w:line="440" w:lineRule="exact"/>
              <w:jc w:val="left"/>
              <w:rPr>
                <w:rFonts w:ascii="宋体" w:hAnsi="宋体" w:cs="宋体"/>
                <w:position w:val="-2"/>
                <w:sz w:val="18"/>
                <w:szCs w:val="18"/>
              </w:rPr>
            </w:pPr>
          </w:p>
        </w:tc>
        <w:tc>
          <w:tcPr>
            <w:tcW w:w="483" w:type="pct"/>
          </w:tcPr>
          <w:p w14:paraId="6F02A722">
            <w:pPr>
              <w:spacing w:line="440" w:lineRule="exact"/>
              <w:jc w:val="left"/>
              <w:rPr>
                <w:rFonts w:ascii="宋体" w:hAnsi="宋体" w:cs="宋体"/>
                <w:position w:val="-2"/>
                <w:sz w:val="18"/>
                <w:szCs w:val="18"/>
              </w:rPr>
            </w:pPr>
          </w:p>
        </w:tc>
        <w:tc>
          <w:tcPr>
            <w:tcW w:w="327" w:type="pct"/>
          </w:tcPr>
          <w:p w14:paraId="53D2C115">
            <w:pPr>
              <w:spacing w:line="440" w:lineRule="exact"/>
              <w:jc w:val="left"/>
              <w:rPr>
                <w:rFonts w:ascii="宋体" w:hAnsi="宋体" w:cs="宋体"/>
                <w:position w:val="-2"/>
                <w:sz w:val="18"/>
                <w:szCs w:val="18"/>
              </w:rPr>
            </w:pPr>
          </w:p>
        </w:tc>
        <w:tc>
          <w:tcPr>
            <w:tcW w:w="354" w:type="pct"/>
          </w:tcPr>
          <w:p w14:paraId="574614AD">
            <w:pPr>
              <w:spacing w:line="440" w:lineRule="exact"/>
              <w:jc w:val="left"/>
              <w:rPr>
                <w:rFonts w:ascii="宋体" w:hAnsi="宋体" w:cs="宋体"/>
                <w:position w:val="-2"/>
                <w:sz w:val="18"/>
                <w:szCs w:val="18"/>
              </w:rPr>
            </w:pPr>
          </w:p>
        </w:tc>
        <w:tc>
          <w:tcPr>
            <w:tcW w:w="354" w:type="pct"/>
          </w:tcPr>
          <w:p w14:paraId="369406B7">
            <w:pPr>
              <w:spacing w:line="440" w:lineRule="exact"/>
              <w:jc w:val="left"/>
              <w:rPr>
                <w:rFonts w:ascii="宋体" w:hAnsi="宋体" w:cs="宋体"/>
                <w:position w:val="-2"/>
                <w:sz w:val="18"/>
                <w:szCs w:val="18"/>
              </w:rPr>
            </w:pPr>
          </w:p>
        </w:tc>
        <w:tc>
          <w:tcPr>
            <w:tcW w:w="354" w:type="pct"/>
          </w:tcPr>
          <w:p w14:paraId="67D27A76">
            <w:pPr>
              <w:spacing w:line="440" w:lineRule="exact"/>
              <w:jc w:val="left"/>
              <w:rPr>
                <w:rFonts w:ascii="宋体" w:hAnsi="宋体" w:cs="宋体"/>
                <w:position w:val="-2"/>
                <w:sz w:val="18"/>
                <w:szCs w:val="18"/>
              </w:rPr>
            </w:pPr>
          </w:p>
        </w:tc>
        <w:tc>
          <w:tcPr>
            <w:tcW w:w="354" w:type="pct"/>
          </w:tcPr>
          <w:p w14:paraId="10B0F4DC">
            <w:pPr>
              <w:spacing w:line="440" w:lineRule="exact"/>
              <w:jc w:val="left"/>
              <w:rPr>
                <w:rFonts w:ascii="宋体" w:hAnsi="宋体" w:cs="宋体"/>
                <w:position w:val="-2"/>
                <w:sz w:val="18"/>
                <w:szCs w:val="18"/>
              </w:rPr>
            </w:pPr>
          </w:p>
        </w:tc>
        <w:tc>
          <w:tcPr>
            <w:tcW w:w="357" w:type="pct"/>
          </w:tcPr>
          <w:p w14:paraId="6FAE564A">
            <w:pPr>
              <w:spacing w:line="440" w:lineRule="exact"/>
              <w:jc w:val="left"/>
              <w:rPr>
                <w:rFonts w:ascii="宋体" w:hAnsi="宋体" w:cs="宋体"/>
                <w:position w:val="-2"/>
                <w:sz w:val="18"/>
                <w:szCs w:val="18"/>
              </w:rPr>
            </w:pPr>
          </w:p>
        </w:tc>
        <w:tc>
          <w:tcPr>
            <w:tcW w:w="357" w:type="pct"/>
          </w:tcPr>
          <w:p w14:paraId="0E3141D5">
            <w:pPr>
              <w:spacing w:line="440" w:lineRule="exact"/>
              <w:jc w:val="left"/>
              <w:rPr>
                <w:rFonts w:ascii="宋体" w:hAnsi="宋体" w:cs="宋体"/>
                <w:position w:val="-2"/>
                <w:sz w:val="18"/>
                <w:szCs w:val="18"/>
              </w:rPr>
            </w:pPr>
          </w:p>
        </w:tc>
      </w:tr>
      <w:tr w14:paraId="3164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1B210AFE">
            <w:pPr>
              <w:spacing w:line="440" w:lineRule="exact"/>
              <w:jc w:val="left"/>
              <w:rPr>
                <w:rFonts w:ascii="宋体" w:hAnsi="宋体" w:cs="宋体"/>
                <w:position w:val="-2"/>
                <w:sz w:val="18"/>
                <w:szCs w:val="18"/>
              </w:rPr>
            </w:pPr>
          </w:p>
        </w:tc>
        <w:tc>
          <w:tcPr>
            <w:tcW w:w="416" w:type="pct"/>
          </w:tcPr>
          <w:p w14:paraId="5DAF64B3">
            <w:pPr>
              <w:spacing w:line="440" w:lineRule="exact"/>
              <w:jc w:val="left"/>
              <w:rPr>
                <w:rFonts w:ascii="宋体" w:hAnsi="宋体" w:cs="宋体"/>
                <w:position w:val="-2"/>
                <w:sz w:val="18"/>
                <w:szCs w:val="18"/>
              </w:rPr>
            </w:pPr>
          </w:p>
        </w:tc>
        <w:tc>
          <w:tcPr>
            <w:tcW w:w="416" w:type="pct"/>
          </w:tcPr>
          <w:p w14:paraId="2CB70A3C">
            <w:pPr>
              <w:spacing w:line="440" w:lineRule="exact"/>
              <w:jc w:val="left"/>
              <w:rPr>
                <w:rFonts w:ascii="宋体" w:hAnsi="宋体" w:cs="宋体"/>
                <w:position w:val="-2"/>
                <w:sz w:val="18"/>
                <w:szCs w:val="18"/>
              </w:rPr>
            </w:pPr>
          </w:p>
        </w:tc>
        <w:tc>
          <w:tcPr>
            <w:tcW w:w="416" w:type="pct"/>
          </w:tcPr>
          <w:p w14:paraId="05106629">
            <w:pPr>
              <w:spacing w:line="440" w:lineRule="exact"/>
              <w:jc w:val="left"/>
              <w:rPr>
                <w:rFonts w:ascii="宋体" w:hAnsi="宋体" w:cs="宋体"/>
                <w:position w:val="-2"/>
                <w:sz w:val="18"/>
                <w:szCs w:val="18"/>
              </w:rPr>
            </w:pPr>
          </w:p>
        </w:tc>
        <w:tc>
          <w:tcPr>
            <w:tcW w:w="353" w:type="pct"/>
          </w:tcPr>
          <w:p w14:paraId="612BD582">
            <w:pPr>
              <w:spacing w:line="440" w:lineRule="exact"/>
              <w:jc w:val="left"/>
              <w:rPr>
                <w:rFonts w:ascii="宋体" w:hAnsi="宋体" w:cs="宋体"/>
                <w:position w:val="-2"/>
                <w:sz w:val="18"/>
                <w:szCs w:val="18"/>
              </w:rPr>
            </w:pPr>
          </w:p>
        </w:tc>
        <w:tc>
          <w:tcPr>
            <w:tcW w:w="249" w:type="pct"/>
          </w:tcPr>
          <w:p w14:paraId="69AAD948">
            <w:pPr>
              <w:spacing w:line="440" w:lineRule="exact"/>
              <w:jc w:val="left"/>
              <w:rPr>
                <w:rFonts w:ascii="宋体" w:hAnsi="宋体" w:cs="宋体"/>
                <w:position w:val="-2"/>
                <w:sz w:val="18"/>
                <w:szCs w:val="18"/>
              </w:rPr>
            </w:pPr>
          </w:p>
        </w:tc>
        <w:tc>
          <w:tcPr>
            <w:tcW w:w="483" w:type="pct"/>
          </w:tcPr>
          <w:p w14:paraId="5A5E7F10">
            <w:pPr>
              <w:spacing w:line="440" w:lineRule="exact"/>
              <w:jc w:val="left"/>
              <w:rPr>
                <w:rFonts w:ascii="宋体" w:hAnsi="宋体" w:cs="宋体"/>
                <w:position w:val="-2"/>
                <w:sz w:val="18"/>
                <w:szCs w:val="18"/>
              </w:rPr>
            </w:pPr>
          </w:p>
        </w:tc>
        <w:tc>
          <w:tcPr>
            <w:tcW w:w="327" w:type="pct"/>
          </w:tcPr>
          <w:p w14:paraId="763D75D5">
            <w:pPr>
              <w:spacing w:line="440" w:lineRule="exact"/>
              <w:jc w:val="left"/>
              <w:rPr>
                <w:rFonts w:ascii="宋体" w:hAnsi="宋体" w:cs="宋体"/>
                <w:position w:val="-2"/>
                <w:sz w:val="18"/>
                <w:szCs w:val="18"/>
              </w:rPr>
            </w:pPr>
          </w:p>
        </w:tc>
        <w:tc>
          <w:tcPr>
            <w:tcW w:w="354" w:type="pct"/>
          </w:tcPr>
          <w:p w14:paraId="2EDE513C">
            <w:pPr>
              <w:spacing w:line="440" w:lineRule="exact"/>
              <w:jc w:val="left"/>
              <w:rPr>
                <w:rFonts w:ascii="宋体" w:hAnsi="宋体" w:cs="宋体"/>
                <w:position w:val="-2"/>
                <w:sz w:val="18"/>
                <w:szCs w:val="18"/>
              </w:rPr>
            </w:pPr>
          </w:p>
        </w:tc>
        <w:tc>
          <w:tcPr>
            <w:tcW w:w="354" w:type="pct"/>
          </w:tcPr>
          <w:p w14:paraId="21DF3128">
            <w:pPr>
              <w:spacing w:line="440" w:lineRule="exact"/>
              <w:jc w:val="left"/>
              <w:rPr>
                <w:rFonts w:ascii="宋体" w:hAnsi="宋体" w:cs="宋体"/>
                <w:position w:val="-2"/>
                <w:sz w:val="18"/>
                <w:szCs w:val="18"/>
              </w:rPr>
            </w:pPr>
          </w:p>
        </w:tc>
        <w:tc>
          <w:tcPr>
            <w:tcW w:w="354" w:type="pct"/>
          </w:tcPr>
          <w:p w14:paraId="0A6D9484">
            <w:pPr>
              <w:spacing w:line="440" w:lineRule="exact"/>
              <w:jc w:val="left"/>
              <w:rPr>
                <w:rFonts w:ascii="宋体" w:hAnsi="宋体" w:cs="宋体"/>
                <w:position w:val="-2"/>
                <w:sz w:val="18"/>
                <w:szCs w:val="18"/>
              </w:rPr>
            </w:pPr>
          </w:p>
        </w:tc>
        <w:tc>
          <w:tcPr>
            <w:tcW w:w="354" w:type="pct"/>
          </w:tcPr>
          <w:p w14:paraId="28E73C49">
            <w:pPr>
              <w:spacing w:line="440" w:lineRule="exact"/>
              <w:jc w:val="left"/>
              <w:rPr>
                <w:rFonts w:ascii="宋体" w:hAnsi="宋体" w:cs="宋体"/>
                <w:position w:val="-2"/>
                <w:sz w:val="18"/>
                <w:szCs w:val="18"/>
              </w:rPr>
            </w:pPr>
          </w:p>
        </w:tc>
        <w:tc>
          <w:tcPr>
            <w:tcW w:w="357" w:type="pct"/>
          </w:tcPr>
          <w:p w14:paraId="4A007610">
            <w:pPr>
              <w:spacing w:line="440" w:lineRule="exact"/>
              <w:jc w:val="left"/>
              <w:rPr>
                <w:rFonts w:ascii="宋体" w:hAnsi="宋体" w:cs="宋体"/>
                <w:position w:val="-2"/>
                <w:sz w:val="18"/>
                <w:szCs w:val="18"/>
              </w:rPr>
            </w:pPr>
          </w:p>
        </w:tc>
        <w:tc>
          <w:tcPr>
            <w:tcW w:w="357" w:type="pct"/>
          </w:tcPr>
          <w:p w14:paraId="0EBE30D6">
            <w:pPr>
              <w:spacing w:line="440" w:lineRule="exact"/>
              <w:jc w:val="left"/>
              <w:rPr>
                <w:rFonts w:ascii="宋体" w:hAnsi="宋体" w:cs="宋体"/>
                <w:position w:val="-2"/>
                <w:sz w:val="18"/>
                <w:szCs w:val="18"/>
              </w:rPr>
            </w:pPr>
          </w:p>
        </w:tc>
      </w:tr>
      <w:tr w14:paraId="0C97B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6E010401">
            <w:pPr>
              <w:spacing w:line="440" w:lineRule="exact"/>
              <w:jc w:val="left"/>
              <w:rPr>
                <w:rFonts w:ascii="宋体" w:hAnsi="宋体" w:cs="宋体"/>
                <w:position w:val="-2"/>
                <w:sz w:val="18"/>
                <w:szCs w:val="18"/>
              </w:rPr>
            </w:pPr>
          </w:p>
        </w:tc>
        <w:tc>
          <w:tcPr>
            <w:tcW w:w="416" w:type="pct"/>
          </w:tcPr>
          <w:p w14:paraId="38037BC5">
            <w:pPr>
              <w:spacing w:line="440" w:lineRule="exact"/>
              <w:jc w:val="left"/>
              <w:rPr>
                <w:rFonts w:ascii="宋体" w:hAnsi="宋体" w:cs="宋体"/>
                <w:position w:val="-2"/>
                <w:sz w:val="18"/>
                <w:szCs w:val="18"/>
              </w:rPr>
            </w:pPr>
          </w:p>
        </w:tc>
        <w:tc>
          <w:tcPr>
            <w:tcW w:w="416" w:type="pct"/>
          </w:tcPr>
          <w:p w14:paraId="78B0137F">
            <w:pPr>
              <w:spacing w:line="440" w:lineRule="exact"/>
              <w:jc w:val="left"/>
              <w:rPr>
                <w:rFonts w:ascii="宋体" w:hAnsi="宋体" w:cs="宋体"/>
                <w:position w:val="-2"/>
                <w:sz w:val="18"/>
                <w:szCs w:val="18"/>
              </w:rPr>
            </w:pPr>
          </w:p>
        </w:tc>
        <w:tc>
          <w:tcPr>
            <w:tcW w:w="416" w:type="pct"/>
          </w:tcPr>
          <w:p w14:paraId="15E8F4A9">
            <w:pPr>
              <w:spacing w:line="440" w:lineRule="exact"/>
              <w:jc w:val="left"/>
              <w:rPr>
                <w:rFonts w:ascii="宋体" w:hAnsi="宋体" w:cs="宋体"/>
                <w:position w:val="-2"/>
                <w:sz w:val="18"/>
                <w:szCs w:val="18"/>
              </w:rPr>
            </w:pPr>
          </w:p>
        </w:tc>
        <w:tc>
          <w:tcPr>
            <w:tcW w:w="353" w:type="pct"/>
          </w:tcPr>
          <w:p w14:paraId="24FEC53F">
            <w:pPr>
              <w:spacing w:line="440" w:lineRule="exact"/>
              <w:jc w:val="left"/>
              <w:rPr>
                <w:rFonts w:ascii="宋体" w:hAnsi="宋体" w:cs="宋体"/>
                <w:position w:val="-2"/>
                <w:sz w:val="18"/>
                <w:szCs w:val="18"/>
              </w:rPr>
            </w:pPr>
          </w:p>
        </w:tc>
        <w:tc>
          <w:tcPr>
            <w:tcW w:w="249" w:type="pct"/>
          </w:tcPr>
          <w:p w14:paraId="5CE1D129">
            <w:pPr>
              <w:spacing w:line="440" w:lineRule="exact"/>
              <w:jc w:val="left"/>
              <w:rPr>
                <w:rFonts w:ascii="宋体" w:hAnsi="宋体" w:cs="宋体"/>
                <w:position w:val="-2"/>
                <w:sz w:val="18"/>
                <w:szCs w:val="18"/>
              </w:rPr>
            </w:pPr>
          </w:p>
        </w:tc>
        <w:tc>
          <w:tcPr>
            <w:tcW w:w="483" w:type="pct"/>
          </w:tcPr>
          <w:p w14:paraId="5E21F27A">
            <w:pPr>
              <w:spacing w:line="440" w:lineRule="exact"/>
              <w:jc w:val="left"/>
              <w:rPr>
                <w:rFonts w:ascii="宋体" w:hAnsi="宋体" w:cs="宋体"/>
                <w:position w:val="-2"/>
                <w:sz w:val="18"/>
                <w:szCs w:val="18"/>
              </w:rPr>
            </w:pPr>
          </w:p>
        </w:tc>
        <w:tc>
          <w:tcPr>
            <w:tcW w:w="327" w:type="pct"/>
          </w:tcPr>
          <w:p w14:paraId="57601154">
            <w:pPr>
              <w:spacing w:line="440" w:lineRule="exact"/>
              <w:jc w:val="left"/>
              <w:rPr>
                <w:rFonts w:ascii="宋体" w:hAnsi="宋体" w:cs="宋体"/>
                <w:position w:val="-2"/>
                <w:sz w:val="18"/>
                <w:szCs w:val="18"/>
              </w:rPr>
            </w:pPr>
          </w:p>
        </w:tc>
        <w:tc>
          <w:tcPr>
            <w:tcW w:w="354" w:type="pct"/>
          </w:tcPr>
          <w:p w14:paraId="1B85A9A5">
            <w:pPr>
              <w:spacing w:line="440" w:lineRule="exact"/>
              <w:jc w:val="left"/>
              <w:rPr>
                <w:rFonts w:ascii="宋体" w:hAnsi="宋体" w:cs="宋体"/>
                <w:position w:val="-2"/>
                <w:sz w:val="18"/>
                <w:szCs w:val="18"/>
              </w:rPr>
            </w:pPr>
          </w:p>
        </w:tc>
        <w:tc>
          <w:tcPr>
            <w:tcW w:w="354" w:type="pct"/>
          </w:tcPr>
          <w:p w14:paraId="71C9E885">
            <w:pPr>
              <w:spacing w:line="440" w:lineRule="exact"/>
              <w:jc w:val="left"/>
              <w:rPr>
                <w:rFonts w:ascii="宋体" w:hAnsi="宋体" w:cs="宋体"/>
                <w:position w:val="-2"/>
                <w:sz w:val="18"/>
                <w:szCs w:val="18"/>
              </w:rPr>
            </w:pPr>
          </w:p>
        </w:tc>
        <w:tc>
          <w:tcPr>
            <w:tcW w:w="354" w:type="pct"/>
          </w:tcPr>
          <w:p w14:paraId="69EA1E64">
            <w:pPr>
              <w:spacing w:line="440" w:lineRule="exact"/>
              <w:jc w:val="left"/>
              <w:rPr>
                <w:rFonts w:ascii="宋体" w:hAnsi="宋体" w:cs="宋体"/>
                <w:position w:val="-2"/>
                <w:sz w:val="18"/>
                <w:szCs w:val="18"/>
              </w:rPr>
            </w:pPr>
          </w:p>
        </w:tc>
        <w:tc>
          <w:tcPr>
            <w:tcW w:w="354" w:type="pct"/>
          </w:tcPr>
          <w:p w14:paraId="559CC7B5">
            <w:pPr>
              <w:spacing w:line="440" w:lineRule="exact"/>
              <w:jc w:val="left"/>
              <w:rPr>
                <w:rFonts w:ascii="宋体" w:hAnsi="宋体" w:cs="宋体"/>
                <w:position w:val="-2"/>
                <w:sz w:val="18"/>
                <w:szCs w:val="18"/>
              </w:rPr>
            </w:pPr>
          </w:p>
        </w:tc>
        <w:tc>
          <w:tcPr>
            <w:tcW w:w="357" w:type="pct"/>
          </w:tcPr>
          <w:p w14:paraId="7AA63B60">
            <w:pPr>
              <w:spacing w:line="440" w:lineRule="exact"/>
              <w:jc w:val="left"/>
              <w:rPr>
                <w:rFonts w:ascii="宋体" w:hAnsi="宋体" w:cs="宋体"/>
                <w:position w:val="-2"/>
                <w:sz w:val="18"/>
                <w:szCs w:val="18"/>
              </w:rPr>
            </w:pPr>
          </w:p>
        </w:tc>
        <w:tc>
          <w:tcPr>
            <w:tcW w:w="357" w:type="pct"/>
          </w:tcPr>
          <w:p w14:paraId="5640BCCC">
            <w:pPr>
              <w:spacing w:line="440" w:lineRule="exact"/>
              <w:jc w:val="left"/>
              <w:rPr>
                <w:rFonts w:ascii="宋体" w:hAnsi="宋体" w:cs="宋体"/>
                <w:position w:val="-2"/>
                <w:sz w:val="18"/>
                <w:szCs w:val="18"/>
              </w:rPr>
            </w:pPr>
          </w:p>
        </w:tc>
      </w:tr>
      <w:tr w14:paraId="02026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34A3A980">
            <w:pPr>
              <w:spacing w:line="440" w:lineRule="exact"/>
              <w:jc w:val="left"/>
              <w:rPr>
                <w:rFonts w:ascii="宋体" w:hAnsi="宋体" w:cs="宋体"/>
                <w:position w:val="-2"/>
                <w:sz w:val="18"/>
                <w:szCs w:val="18"/>
              </w:rPr>
            </w:pPr>
          </w:p>
        </w:tc>
        <w:tc>
          <w:tcPr>
            <w:tcW w:w="416" w:type="pct"/>
          </w:tcPr>
          <w:p w14:paraId="05AA664D">
            <w:pPr>
              <w:spacing w:line="440" w:lineRule="exact"/>
              <w:jc w:val="left"/>
              <w:rPr>
                <w:rFonts w:ascii="宋体" w:hAnsi="宋体" w:cs="宋体"/>
                <w:position w:val="-2"/>
                <w:sz w:val="18"/>
                <w:szCs w:val="18"/>
              </w:rPr>
            </w:pPr>
          </w:p>
        </w:tc>
        <w:tc>
          <w:tcPr>
            <w:tcW w:w="416" w:type="pct"/>
          </w:tcPr>
          <w:p w14:paraId="7523406E">
            <w:pPr>
              <w:spacing w:line="440" w:lineRule="exact"/>
              <w:jc w:val="left"/>
              <w:rPr>
                <w:rFonts w:ascii="宋体" w:hAnsi="宋体" w:cs="宋体"/>
                <w:position w:val="-2"/>
                <w:sz w:val="18"/>
                <w:szCs w:val="18"/>
              </w:rPr>
            </w:pPr>
          </w:p>
        </w:tc>
        <w:tc>
          <w:tcPr>
            <w:tcW w:w="416" w:type="pct"/>
          </w:tcPr>
          <w:p w14:paraId="646BBF75">
            <w:pPr>
              <w:spacing w:line="440" w:lineRule="exact"/>
              <w:jc w:val="left"/>
              <w:rPr>
                <w:rFonts w:ascii="宋体" w:hAnsi="宋体" w:cs="宋体"/>
                <w:position w:val="-2"/>
                <w:sz w:val="18"/>
                <w:szCs w:val="18"/>
              </w:rPr>
            </w:pPr>
          </w:p>
        </w:tc>
        <w:tc>
          <w:tcPr>
            <w:tcW w:w="353" w:type="pct"/>
          </w:tcPr>
          <w:p w14:paraId="149CE351">
            <w:pPr>
              <w:spacing w:line="440" w:lineRule="exact"/>
              <w:jc w:val="left"/>
              <w:rPr>
                <w:rFonts w:ascii="宋体" w:hAnsi="宋体" w:cs="宋体"/>
                <w:position w:val="-2"/>
                <w:sz w:val="18"/>
                <w:szCs w:val="18"/>
              </w:rPr>
            </w:pPr>
          </w:p>
        </w:tc>
        <w:tc>
          <w:tcPr>
            <w:tcW w:w="249" w:type="pct"/>
          </w:tcPr>
          <w:p w14:paraId="61C95EE9">
            <w:pPr>
              <w:spacing w:line="440" w:lineRule="exact"/>
              <w:jc w:val="left"/>
              <w:rPr>
                <w:rFonts w:ascii="宋体" w:hAnsi="宋体" w:cs="宋体"/>
                <w:position w:val="-2"/>
                <w:sz w:val="18"/>
                <w:szCs w:val="18"/>
              </w:rPr>
            </w:pPr>
          </w:p>
        </w:tc>
        <w:tc>
          <w:tcPr>
            <w:tcW w:w="483" w:type="pct"/>
          </w:tcPr>
          <w:p w14:paraId="054AEB3D">
            <w:pPr>
              <w:spacing w:line="440" w:lineRule="exact"/>
              <w:jc w:val="left"/>
              <w:rPr>
                <w:rFonts w:ascii="宋体" w:hAnsi="宋体" w:cs="宋体"/>
                <w:position w:val="-2"/>
                <w:sz w:val="18"/>
                <w:szCs w:val="18"/>
              </w:rPr>
            </w:pPr>
          </w:p>
        </w:tc>
        <w:tc>
          <w:tcPr>
            <w:tcW w:w="327" w:type="pct"/>
          </w:tcPr>
          <w:p w14:paraId="262F276D">
            <w:pPr>
              <w:spacing w:line="440" w:lineRule="exact"/>
              <w:jc w:val="left"/>
              <w:rPr>
                <w:rFonts w:ascii="宋体" w:hAnsi="宋体" w:cs="宋体"/>
                <w:position w:val="-2"/>
                <w:sz w:val="18"/>
                <w:szCs w:val="18"/>
              </w:rPr>
            </w:pPr>
          </w:p>
        </w:tc>
        <w:tc>
          <w:tcPr>
            <w:tcW w:w="354" w:type="pct"/>
          </w:tcPr>
          <w:p w14:paraId="7A085723">
            <w:pPr>
              <w:spacing w:line="440" w:lineRule="exact"/>
              <w:jc w:val="left"/>
              <w:rPr>
                <w:rFonts w:ascii="宋体" w:hAnsi="宋体" w:cs="宋体"/>
                <w:position w:val="-2"/>
                <w:sz w:val="18"/>
                <w:szCs w:val="18"/>
              </w:rPr>
            </w:pPr>
          </w:p>
        </w:tc>
        <w:tc>
          <w:tcPr>
            <w:tcW w:w="354" w:type="pct"/>
          </w:tcPr>
          <w:p w14:paraId="2D03D20D">
            <w:pPr>
              <w:spacing w:line="440" w:lineRule="exact"/>
              <w:jc w:val="left"/>
              <w:rPr>
                <w:rFonts w:ascii="宋体" w:hAnsi="宋体" w:cs="宋体"/>
                <w:position w:val="-2"/>
                <w:sz w:val="18"/>
                <w:szCs w:val="18"/>
              </w:rPr>
            </w:pPr>
          </w:p>
        </w:tc>
        <w:tc>
          <w:tcPr>
            <w:tcW w:w="354" w:type="pct"/>
          </w:tcPr>
          <w:p w14:paraId="069E0BC7">
            <w:pPr>
              <w:spacing w:line="440" w:lineRule="exact"/>
              <w:jc w:val="left"/>
              <w:rPr>
                <w:rFonts w:ascii="宋体" w:hAnsi="宋体" w:cs="宋体"/>
                <w:position w:val="-2"/>
                <w:sz w:val="18"/>
                <w:szCs w:val="18"/>
              </w:rPr>
            </w:pPr>
          </w:p>
        </w:tc>
        <w:tc>
          <w:tcPr>
            <w:tcW w:w="354" w:type="pct"/>
          </w:tcPr>
          <w:p w14:paraId="7836769B">
            <w:pPr>
              <w:spacing w:line="440" w:lineRule="exact"/>
              <w:jc w:val="left"/>
              <w:rPr>
                <w:rFonts w:ascii="宋体" w:hAnsi="宋体" w:cs="宋体"/>
                <w:position w:val="-2"/>
                <w:sz w:val="18"/>
                <w:szCs w:val="18"/>
              </w:rPr>
            </w:pPr>
          </w:p>
        </w:tc>
        <w:tc>
          <w:tcPr>
            <w:tcW w:w="357" w:type="pct"/>
          </w:tcPr>
          <w:p w14:paraId="5C7103AE">
            <w:pPr>
              <w:spacing w:line="440" w:lineRule="exact"/>
              <w:jc w:val="left"/>
              <w:rPr>
                <w:rFonts w:ascii="宋体" w:hAnsi="宋体" w:cs="宋体"/>
                <w:position w:val="-2"/>
                <w:sz w:val="18"/>
                <w:szCs w:val="18"/>
              </w:rPr>
            </w:pPr>
          </w:p>
        </w:tc>
        <w:tc>
          <w:tcPr>
            <w:tcW w:w="357" w:type="pct"/>
          </w:tcPr>
          <w:p w14:paraId="76A70F49">
            <w:pPr>
              <w:spacing w:line="440" w:lineRule="exact"/>
              <w:jc w:val="left"/>
              <w:rPr>
                <w:rFonts w:ascii="宋体" w:hAnsi="宋体" w:cs="宋体"/>
                <w:position w:val="-2"/>
                <w:sz w:val="18"/>
                <w:szCs w:val="18"/>
              </w:rPr>
            </w:pPr>
          </w:p>
        </w:tc>
      </w:tr>
      <w:tr w14:paraId="5CCA2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30E95FAE">
            <w:pPr>
              <w:spacing w:line="440" w:lineRule="exact"/>
              <w:jc w:val="left"/>
              <w:rPr>
                <w:rFonts w:ascii="宋体" w:hAnsi="宋体" w:cs="宋体"/>
                <w:position w:val="-2"/>
                <w:sz w:val="18"/>
                <w:szCs w:val="18"/>
              </w:rPr>
            </w:pPr>
          </w:p>
        </w:tc>
        <w:tc>
          <w:tcPr>
            <w:tcW w:w="416" w:type="pct"/>
          </w:tcPr>
          <w:p w14:paraId="04087646">
            <w:pPr>
              <w:spacing w:line="440" w:lineRule="exact"/>
              <w:jc w:val="left"/>
              <w:rPr>
                <w:rFonts w:ascii="宋体" w:hAnsi="宋体" w:cs="宋体"/>
                <w:position w:val="-2"/>
                <w:sz w:val="18"/>
                <w:szCs w:val="18"/>
              </w:rPr>
            </w:pPr>
          </w:p>
        </w:tc>
        <w:tc>
          <w:tcPr>
            <w:tcW w:w="416" w:type="pct"/>
          </w:tcPr>
          <w:p w14:paraId="53AE20AA">
            <w:pPr>
              <w:spacing w:line="440" w:lineRule="exact"/>
              <w:jc w:val="left"/>
              <w:rPr>
                <w:rFonts w:ascii="宋体" w:hAnsi="宋体" w:cs="宋体"/>
                <w:position w:val="-2"/>
                <w:sz w:val="18"/>
                <w:szCs w:val="18"/>
              </w:rPr>
            </w:pPr>
          </w:p>
        </w:tc>
        <w:tc>
          <w:tcPr>
            <w:tcW w:w="416" w:type="pct"/>
          </w:tcPr>
          <w:p w14:paraId="5A27ED4D">
            <w:pPr>
              <w:spacing w:line="440" w:lineRule="exact"/>
              <w:jc w:val="left"/>
              <w:rPr>
                <w:rFonts w:ascii="宋体" w:hAnsi="宋体" w:cs="宋体"/>
                <w:position w:val="-2"/>
                <w:sz w:val="18"/>
                <w:szCs w:val="18"/>
              </w:rPr>
            </w:pPr>
          </w:p>
        </w:tc>
        <w:tc>
          <w:tcPr>
            <w:tcW w:w="353" w:type="pct"/>
          </w:tcPr>
          <w:p w14:paraId="48C7911E">
            <w:pPr>
              <w:spacing w:line="440" w:lineRule="exact"/>
              <w:jc w:val="left"/>
              <w:rPr>
                <w:rFonts w:ascii="宋体" w:hAnsi="宋体" w:cs="宋体"/>
                <w:position w:val="-2"/>
                <w:sz w:val="18"/>
                <w:szCs w:val="18"/>
              </w:rPr>
            </w:pPr>
          </w:p>
        </w:tc>
        <w:tc>
          <w:tcPr>
            <w:tcW w:w="249" w:type="pct"/>
          </w:tcPr>
          <w:p w14:paraId="2B170630">
            <w:pPr>
              <w:spacing w:line="440" w:lineRule="exact"/>
              <w:jc w:val="left"/>
              <w:rPr>
                <w:rFonts w:ascii="宋体" w:hAnsi="宋体" w:cs="宋体"/>
                <w:position w:val="-2"/>
                <w:sz w:val="18"/>
                <w:szCs w:val="18"/>
              </w:rPr>
            </w:pPr>
          </w:p>
        </w:tc>
        <w:tc>
          <w:tcPr>
            <w:tcW w:w="483" w:type="pct"/>
          </w:tcPr>
          <w:p w14:paraId="2D55348F">
            <w:pPr>
              <w:spacing w:line="440" w:lineRule="exact"/>
              <w:jc w:val="left"/>
              <w:rPr>
                <w:rFonts w:ascii="宋体" w:hAnsi="宋体" w:cs="宋体"/>
                <w:position w:val="-2"/>
                <w:sz w:val="18"/>
                <w:szCs w:val="18"/>
              </w:rPr>
            </w:pPr>
          </w:p>
        </w:tc>
        <w:tc>
          <w:tcPr>
            <w:tcW w:w="327" w:type="pct"/>
          </w:tcPr>
          <w:p w14:paraId="38CE129D">
            <w:pPr>
              <w:spacing w:line="440" w:lineRule="exact"/>
              <w:jc w:val="left"/>
              <w:rPr>
                <w:rFonts w:ascii="宋体" w:hAnsi="宋体" w:cs="宋体"/>
                <w:position w:val="-2"/>
                <w:sz w:val="18"/>
                <w:szCs w:val="18"/>
              </w:rPr>
            </w:pPr>
          </w:p>
        </w:tc>
        <w:tc>
          <w:tcPr>
            <w:tcW w:w="354" w:type="pct"/>
          </w:tcPr>
          <w:p w14:paraId="54ACE182">
            <w:pPr>
              <w:spacing w:line="440" w:lineRule="exact"/>
              <w:jc w:val="left"/>
              <w:rPr>
                <w:rFonts w:ascii="宋体" w:hAnsi="宋体" w:cs="宋体"/>
                <w:position w:val="-2"/>
                <w:sz w:val="18"/>
                <w:szCs w:val="18"/>
              </w:rPr>
            </w:pPr>
          </w:p>
        </w:tc>
        <w:tc>
          <w:tcPr>
            <w:tcW w:w="354" w:type="pct"/>
          </w:tcPr>
          <w:p w14:paraId="07541537">
            <w:pPr>
              <w:spacing w:line="440" w:lineRule="exact"/>
              <w:jc w:val="left"/>
              <w:rPr>
                <w:rFonts w:ascii="宋体" w:hAnsi="宋体" w:cs="宋体"/>
                <w:position w:val="-2"/>
                <w:sz w:val="18"/>
                <w:szCs w:val="18"/>
              </w:rPr>
            </w:pPr>
          </w:p>
        </w:tc>
        <w:tc>
          <w:tcPr>
            <w:tcW w:w="354" w:type="pct"/>
          </w:tcPr>
          <w:p w14:paraId="3FBEA26B">
            <w:pPr>
              <w:spacing w:line="440" w:lineRule="exact"/>
              <w:jc w:val="left"/>
              <w:rPr>
                <w:rFonts w:ascii="宋体" w:hAnsi="宋体" w:cs="宋体"/>
                <w:position w:val="-2"/>
                <w:sz w:val="18"/>
                <w:szCs w:val="18"/>
              </w:rPr>
            </w:pPr>
          </w:p>
        </w:tc>
        <w:tc>
          <w:tcPr>
            <w:tcW w:w="354" w:type="pct"/>
          </w:tcPr>
          <w:p w14:paraId="0F69A8A2">
            <w:pPr>
              <w:spacing w:line="440" w:lineRule="exact"/>
              <w:jc w:val="left"/>
              <w:rPr>
                <w:rFonts w:ascii="宋体" w:hAnsi="宋体" w:cs="宋体"/>
                <w:position w:val="-2"/>
                <w:sz w:val="18"/>
                <w:szCs w:val="18"/>
              </w:rPr>
            </w:pPr>
          </w:p>
        </w:tc>
        <w:tc>
          <w:tcPr>
            <w:tcW w:w="357" w:type="pct"/>
          </w:tcPr>
          <w:p w14:paraId="63770672">
            <w:pPr>
              <w:spacing w:line="440" w:lineRule="exact"/>
              <w:jc w:val="left"/>
              <w:rPr>
                <w:rFonts w:ascii="宋体" w:hAnsi="宋体" w:cs="宋体"/>
                <w:position w:val="-2"/>
                <w:sz w:val="18"/>
                <w:szCs w:val="18"/>
              </w:rPr>
            </w:pPr>
          </w:p>
        </w:tc>
        <w:tc>
          <w:tcPr>
            <w:tcW w:w="357" w:type="pct"/>
          </w:tcPr>
          <w:p w14:paraId="683F3B13">
            <w:pPr>
              <w:spacing w:line="440" w:lineRule="exact"/>
              <w:jc w:val="left"/>
              <w:rPr>
                <w:rFonts w:ascii="宋体" w:hAnsi="宋体" w:cs="宋体"/>
                <w:position w:val="-2"/>
                <w:sz w:val="18"/>
                <w:szCs w:val="18"/>
              </w:rPr>
            </w:pPr>
          </w:p>
        </w:tc>
      </w:tr>
      <w:tr w14:paraId="01E3F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51F32264">
            <w:pPr>
              <w:spacing w:line="440" w:lineRule="exact"/>
              <w:jc w:val="left"/>
              <w:rPr>
                <w:rFonts w:ascii="宋体" w:hAnsi="宋体" w:cs="宋体"/>
                <w:position w:val="-2"/>
                <w:sz w:val="18"/>
                <w:szCs w:val="18"/>
              </w:rPr>
            </w:pPr>
          </w:p>
        </w:tc>
        <w:tc>
          <w:tcPr>
            <w:tcW w:w="416" w:type="pct"/>
          </w:tcPr>
          <w:p w14:paraId="777B4691">
            <w:pPr>
              <w:spacing w:line="440" w:lineRule="exact"/>
              <w:jc w:val="left"/>
              <w:rPr>
                <w:rFonts w:ascii="宋体" w:hAnsi="宋体" w:cs="宋体"/>
                <w:position w:val="-2"/>
                <w:sz w:val="18"/>
                <w:szCs w:val="18"/>
              </w:rPr>
            </w:pPr>
          </w:p>
        </w:tc>
        <w:tc>
          <w:tcPr>
            <w:tcW w:w="416" w:type="pct"/>
          </w:tcPr>
          <w:p w14:paraId="4F4F2CA0">
            <w:pPr>
              <w:spacing w:line="440" w:lineRule="exact"/>
              <w:jc w:val="left"/>
              <w:rPr>
                <w:rFonts w:ascii="宋体" w:hAnsi="宋体" w:cs="宋体"/>
                <w:position w:val="-2"/>
                <w:sz w:val="18"/>
                <w:szCs w:val="18"/>
              </w:rPr>
            </w:pPr>
          </w:p>
        </w:tc>
        <w:tc>
          <w:tcPr>
            <w:tcW w:w="416" w:type="pct"/>
          </w:tcPr>
          <w:p w14:paraId="2B6FCB05">
            <w:pPr>
              <w:spacing w:line="440" w:lineRule="exact"/>
              <w:jc w:val="left"/>
              <w:rPr>
                <w:rFonts w:ascii="宋体" w:hAnsi="宋体" w:cs="宋体"/>
                <w:position w:val="-2"/>
                <w:sz w:val="18"/>
                <w:szCs w:val="18"/>
              </w:rPr>
            </w:pPr>
          </w:p>
        </w:tc>
        <w:tc>
          <w:tcPr>
            <w:tcW w:w="353" w:type="pct"/>
          </w:tcPr>
          <w:p w14:paraId="7ACC50EF">
            <w:pPr>
              <w:spacing w:line="440" w:lineRule="exact"/>
              <w:jc w:val="left"/>
              <w:rPr>
                <w:rFonts w:ascii="宋体" w:hAnsi="宋体" w:cs="宋体"/>
                <w:position w:val="-2"/>
                <w:sz w:val="18"/>
                <w:szCs w:val="18"/>
              </w:rPr>
            </w:pPr>
          </w:p>
        </w:tc>
        <w:tc>
          <w:tcPr>
            <w:tcW w:w="249" w:type="pct"/>
          </w:tcPr>
          <w:p w14:paraId="0B49E407">
            <w:pPr>
              <w:spacing w:line="440" w:lineRule="exact"/>
              <w:jc w:val="left"/>
              <w:rPr>
                <w:rFonts w:ascii="宋体" w:hAnsi="宋体" w:cs="宋体"/>
                <w:position w:val="-2"/>
                <w:sz w:val="18"/>
                <w:szCs w:val="18"/>
              </w:rPr>
            </w:pPr>
          </w:p>
        </w:tc>
        <w:tc>
          <w:tcPr>
            <w:tcW w:w="483" w:type="pct"/>
          </w:tcPr>
          <w:p w14:paraId="2CBD961E">
            <w:pPr>
              <w:spacing w:line="440" w:lineRule="exact"/>
              <w:jc w:val="left"/>
              <w:rPr>
                <w:rFonts w:ascii="宋体" w:hAnsi="宋体" w:cs="宋体"/>
                <w:position w:val="-2"/>
                <w:sz w:val="18"/>
                <w:szCs w:val="18"/>
              </w:rPr>
            </w:pPr>
          </w:p>
        </w:tc>
        <w:tc>
          <w:tcPr>
            <w:tcW w:w="327" w:type="pct"/>
          </w:tcPr>
          <w:p w14:paraId="0034D1DF">
            <w:pPr>
              <w:spacing w:line="440" w:lineRule="exact"/>
              <w:jc w:val="left"/>
              <w:rPr>
                <w:rFonts w:ascii="宋体" w:hAnsi="宋体" w:cs="宋体"/>
                <w:position w:val="-2"/>
                <w:sz w:val="18"/>
                <w:szCs w:val="18"/>
              </w:rPr>
            </w:pPr>
          </w:p>
        </w:tc>
        <w:tc>
          <w:tcPr>
            <w:tcW w:w="354" w:type="pct"/>
          </w:tcPr>
          <w:p w14:paraId="05640ABE">
            <w:pPr>
              <w:spacing w:line="440" w:lineRule="exact"/>
              <w:jc w:val="left"/>
              <w:rPr>
                <w:rFonts w:ascii="宋体" w:hAnsi="宋体" w:cs="宋体"/>
                <w:position w:val="-2"/>
                <w:sz w:val="18"/>
                <w:szCs w:val="18"/>
              </w:rPr>
            </w:pPr>
          </w:p>
        </w:tc>
        <w:tc>
          <w:tcPr>
            <w:tcW w:w="354" w:type="pct"/>
          </w:tcPr>
          <w:p w14:paraId="69FCCD60">
            <w:pPr>
              <w:spacing w:line="440" w:lineRule="exact"/>
              <w:jc w:val="left"/>
              <w:rPr>
                <w:rFonts w:ascii="宋体" w:hAnsi="宋体" w:cs="宋体"/>
                <w:position w:val="-2"/>
                <w:sz w:val="18"/>
                <w:szCs w:val="18"/>
              </w:rPr>
            </w:pPr>
          </w:p>
        </w:tc>
        <w:tc>
          <w:tcPr>
            <w:tcW w:w="354" w:type="pct"/>
          </w:tcPr>
          <w:p w14:paraId="225FC67C">
            <w:pPr>
              <w:spacing w:line="440" w:lineRule="exact"/>
              <w:jc w:val="left"/>
              <w:rPr>
                <w:rFonts w:ascii="宋体" w:hAnsi="宋体" w:cs="宋体"/>
                <w:position w:val="-2"/>
                <w:sz w:val="18"/>
                <w:szCs w:val="18"/>
              </w:rPr>
            </w:pPr>
          </w:p>
        </w:tc>
        <w:tc>
          <w:tcPr>
            <w:tcW w:w="354" w:type="pct"/>
          </w:tcPr>
          <w:p w14:paraId="4F4E583D">
            <w:pPr>
              <w:spacing w:line="440" w:lineRule="exact"/>
              <w:jc w:val="left"/>
              <w:rPr>
                <w:rFonts w:ascii="宋体" w:hAnsi="宋体" w:cs="宋体"/>
                <w:position w:val="-2"/>
                <w:sz w:val="18"/>
                <w:szCs w:val="18"/>
              </w:rPr>
            </w:pPr>
          </w:p>
        </w:tc>
        <w:tc>
          <w:tcPr>
            <w:tcW w:w="357" w:type="pct"/>
          </w:tcPr>
          <w:p w14:paraId="0B9C0A29">
            <w:pPr>
              <w:spacing w:line="440" w:lineRule="exact"/>
              <w:jc w:val="left"/>
              <w:rPr>
                <w:rFonts w:ascii="宋体" w:hAnsi="宋体" w:cs="宋体"/>
                <w:position w:val="-2"/>
                <w:sz w:val="18"/>
                <w:szCs w:val="18"/>
              </w:rPr>
            </w:pPr>
          </w:p>
        </w:tc>
        <w:tc>
          <w:tcPr>
            <w:tcW w:w="357" w:type="pct"/>
          </w:tcPr>
          <w:p w14:paraId="7C3E6CE1">
            <w:pPr>
              <w:spacing w:line="440" w:lineRule="exact"/>
              <w:jc w:val="left"/>
              <w:rPr>
                <w:rFonts w:ascii="宋体" w:hAnsi="宋体" w:cs="宋体"/>
                <w:position w:val="-2"/>
                <w:sz w:val="18"/>
                <w:szCs w:val="18"/>
              </w:rPr>
            </w:pPr>
          </w:p>
        </w:tc>
      </w:tr>
      <w:tr w14:paraId="2E1BC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2199504C">
            <w:pPr>
              <w:spacing w:line="440" w:lineRule="exact"/>
              <w:jc w:val="left"/>
              <w:rPr>
                <w:rFonts w:ascii="宋体" w:hAnsi="宋体" w:cs="宋体"/>
                <w:position w:val="-2"/>
                <w:sz w:val="18"/>
                <w:szCs w:val="18"/>
              </w:rPr>
            </w:pPr>
          </w:p>
        </w:tc>
        <w:tc>
          <w:tcPr>
            <w:tcW w:w="416" w:type="pct"/>
          </w:tcPr>
          <w:p w14:paraId="11AA32B4">
            <w:pPr>
              <w:spacing w:line="440" w:lineRule="exact"/>
              <w:jc w:val="left"/>
              <w:rPr>
                <w:rFonts w:ascii="宋体" w:hAnsi="宋体" w:cs="宋体"/>
                <w:position w:val="-2"/>
                <w:sz w:val="18"/>
                <w:szCs w:val="18"/>
              </w:rPr>
            </w:pPr>
          </w:p>
        </w:tc>
        <w:tc>
          <w:tcPr>
            <w:tcW w:w="416" w:type="pct"/>
          </w:tcPr>
          <w:p w14:paraId="4967EB9F">
            <w:pPr>
              <w:spacing w:line="440" w:lineRule="exact"/>
              <w:jc w:val="left"/>
              <w:rPr>
                <w:rFonts w:ascii="宋体" w:hAnsi="宋体" w:cs="宋体"/>
                <w:position w:val="-2"/>
                <w:sz w:val="18"/>
                <w:szCs w:val="18"/>
              </w:rPr>
            </w:pPr>
          </w:p>
        </w:tc>
        <w:tc>
          <w:tcPr>
            <w:tcW w:w="416" w:type="pct"/>
          </w:tcPr>
          <w:p w14:paraId="32C71080">
            <w:pPr>
              <w:spacing w:line="440" w:lineRule="exact"/>
              <w:jc w:val="left"/>
              <w:rPr>
                <w:rFonts w:ascii="宋体" w:hAnsi="宋体" w:cs="宋体"/>
                <w:position w:val="-2"/>
                <w:sz w:val="18"/>
                <w:szCs w:val="18"/>
              </w:rPr>
            </w:pPr>
          </w:p>
        </w:tc>
        <w:tc>
          <w:tcPr>
            <w:tcW w:w="353" w:type="pct"/>
          </w:tcPr>
          <w:p w14:paraId="19D0BAE5">
            <w:pPr>
              <w:spacing w:line="440" w:lineRule="exact"/>
              <w:jc w:val="left"/>
              <w:rPr>
                <w:rFonts w:ascii="宋体" w:hAnsi="宋体" w:cs="宋体"/>
                <w:position w:val="-2"/>
                <w:sz w:val="18"/>
                <w:szCs w:val="18"/>
              </w:rPr>
            </w:pPr>
          </w:p>
        </w:tc>
        <w:tc>
          <w:tcPr>
            <w:tcW w:w="249" w:type="pct"/>
          </w:tcPr>
          <w:p w14:paraId="779EA619">
            <w:pPr>
              <w:spacing w:line="440" w:lineRule="exact"/>
              <w:jc w:val="left"/>
              <w:rPr>
                <w:rFonts w:ascii="宋体" w:hAnsi="宋体" w:cs="宋体"/>
                <w:position w:val="-2"/>
                <w:sz w:val="18"/>
                <w:szCs w:val="18"/>
              </w:rPr>
            </w:pPr>
          </w:p>
        </w:tc>
        <w:tc>
          <w:tcPr>
            <w:tcW w:w="483" w:type="pct"/>
          </w:tcPr>
          <w:p w14:paraId="1C571528">
            <w:pPr>
              <w:spacing w:line="440" w:lineRule="exact"/>
              <w:jc w:val="left"/>
              <w:rPr>
                <w:rFonts w:ascii="宋体" w:hAnsi="宋体" w:cs="宋体"/>
                <w:position w:val="-2"/>
                <w:sz w:val="18"/>
                <w:szCs w:val="18"/>
              </w:rPr>
            </w:pPr>
          </w:p>
        </w:tc>
        <w:tc>
          <w:tcPr>
            <w:tcW w:w="327" w:type="pct"/>
          </w:tcPr>
          <w:p w14:paraId="53D34D9C">
            <w:pPr>
              <w:spacing w:line="440" w:lineRule="exact"/>
              <w:jc w:val="left"/>
              <w:rPr>
                <w:rFonts w:ascii="宋体" w:hAnsi="宋体" w:cs="宋体"/>
                <w:position w:val="-2"/>
                <w:sz w:val="18"/>
                <w:szCs w:val="18"/>
              </w:rPr>
            </w:pPr>
          </w:p>
        </w:tc>
        <w:tc>
          <w:tcPr>
            <w:tcW w:w="354" w:type="pct"/>
          </w:tcPr>
          <w:p w14:paraId="6C554EB5">
            <w:pPr>
              <w:spacing w:line="440" w:lineRule="exact"/>
              <w:jc w:val="left"/>
              <w:rPr>
                <w:rFonts w:ascii="宋体" w:hAnsi="宋体" w:cs="宋体"/>
                <w:position w:val="-2"/>
                <w:sz w:val="18"/>
                <w:szCs w:val="18"/>
              </w:rPr>
            </w:pPr>
          </w:p>
        </w:tc>
        <w:tc>
          <w:tcPr>
            <w:tcW w:w="354" w:type="pct"/>
          </w:tcPr>
          <w:p w14:paraId="1FB96B52">
            <w:pPr>
              <w:spacing w:line="440" w:lineRule="exact"/>
              <w:jc w:val="left"/>
              <w:rPr>
                <w:rFonts w:ascii="宋体" w:hAnsi="宋体" w:cs="宋体"/>
                <w:position w:val="-2"/>
                <w:sz w:val="18"/>
                <w:szCs w:val="18"/>
              </w:rPr>
            </w:pPr>
          </w:p>
        </w:tc>
        <w:tc>
          <w:tcPr>
            <w:tcW w:w="354" w:type="pct"/>
          </w:tcPr>
          <w:p w14:paraId="2756DC1E">
            <w:pPr>
              <w:spacing w:line="440" w:lineRule="exact"/>
              <w:jc w:val="left"/>
              <w:rPr>
                <w:rFonts w:ascii="宋体" w:hAnsi="宋体" w:cs="宋体"/>
                <w:position w:val="-2"/>
                <w:sz w:val="18"/>
                <w:szCs w:val="18"/>
              </w:rPr>
            </w:pPr>
          </w:p>
        </w:tc>
        <w:tc>
          <w:tcPr>
            <w:tcW w:w="354" w:type="pct"/>
          </w:tcPr>
          <w:p w14:paraId="4A472EA2">
            <w:pPr>
              <w:spacing w:line="440" w:lineRule="exact"/>
              <w:jc w:val="left"/>
              <w:rPr>
                <w:rFonts w:ascii="宋体" w:hAnsi="宋体" w:cs="宋体"/>
                <w:position w:val="-2"/>
                <w:sz w:val="18"/>
                <w:szCs w:val="18"/>
              </w:rPr>
            </w:pPr>
          </w:p>
        </w:tc>
        <w:tc>
          <w:tcPr>
            <w:tcW w:w="357" w:type="pct"/>
          </w:tcPr>
          <w:p w14:paraId="27D4DE7C">
            <w:pPr>
              <w:spacing w:line="440" w:lineRule="exact"/>
              <w:jc w:val="left"/>
              <w:rPr>
                <w:rFonts w:ascii="宋体" w:hAnsi="宋体" w:cs="宋体"/>
                <w:position w:val="-2"/>
                <w:sz w:val="18"/>
                <w:szCs w:val="18"/>
              </w:rPr>
            </w:pPr>
          </w:p>
        </w:tc>
        <w:tc>
          <w:tcPr>
            <w:tcW w:w="357" w:type="pct"/>
          </w:tcPr>
          <w:p w14:paraId="2C680886">
            <w:pPr>
              <w:spacing w:line="440" w:lineRule="exact"/>
              <w:jc w:val="left"/>
              <w:rPr>
                <w:rFonts w:ascii="宋体" w:hAnsi="宋体" w:cs="宋体"/>
                <w:position w:val="-2"/>
                <w:sz w:val="18"/>
                <w:szCs w:val="18"/>
              </w:rPr>
            </w:pPr>
          </w:p>
        </w:tc>
      </w:tr>
      <w:tr w14:paraId="552C8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tcPr>
          <w:p w14:paraId="7BF34A24">
            <w:pPr>
              <w:spacing w:line="440" w:lineRule="exact"/>
              <w:jc w:val="left"/>
              <w:rPr>
                <w:rFonts w:ascii="宋体" w:hAnsi="宋体" w:cs="宋体"/>
                <w:position w:val="-2"/>
                <w:sz w:val="18"/>
                <w:szCs w:val="18"/>
              </w:rPr>
            </w:pPr>
          </w:p>
        </w:tc>
        <w:tc>
          <w:tcPr>
            <w:tcW w:w="416" w:type="pct"/>
          </w:tcPr>
          <w:p w14:paraId="3F704A94">
            <w:pPr>
              <w:spacing w:line="440" w:lineRule="exact"/>
              <w:jc w:val="left"/>
              <w:rPr>
                <w:rFonts w:ascii="宋体" w:hAnsi="宋体" w:cs="宋体"/>
                <w:position w:val="-2"/>
                <w:sz w:val="18"/>
                <w:szCs w:val="18"/>
              </w:rPr>
            </w:pPr>
          </w:p>
        </w:tc>
        <w:tc>
          <w:tcPr>
            <w:tcW w:w="416" w:type="pct"/>
          </w:tcPr>
          <w:p w14:paraId="51E9E136">
            <w:pPr>
              <w:spacing w:line="440" w:lineRule="exact"/>
              <w:jc w:val="left"/>
              <w:rPr>
                <w:rFonts w:ascii="宋体" w:hAnsi="宋体" w:cs="宋体"/>
                <w:position w:val="-2"/>
                <w:sz w:val="18"/>
                <w:szCs w:val="18"/>
              </w:rPr>
            </w:pPr>
          </w:p>
        </w:tc>
        <w:tc>
          <w:tcPr>
            <w:tcW w:w="416" w:type="pct"/>
          </w:tcPr>
          <w:p w14:paraId="1471BF78">
            <w:pPr>
              <w:spacing w:line="440" w:lineRule="exact"/>
              <w:jc w:val="left"/>
              <w:rPr>
                <w:rFonts w:ascii="宋体" w:hAnsi="宋体" w:cs="宋体"/>
                <w:position w:val="-2"/>
                <w:sz w:val="18"/>
                <w:szCs w:val="18"/>
              </w:rPr>
            </w:pPr>
          </w:p>
        </w:tc>
        <w:tc>
          <w:tcPr>
            <w:tcW w:w="353" w:type="pct"/>
          </w:tcPr>
          <w:p w14:paraId="6ACB12D1">
            <w:pPr>
              <w:spacing w:line="440" w:lineRule="exact"/>
              <w:jc w:val="left"/>
              <w:rPr>
                <w:rFonts w:ascii="宋体" w:hAnsi="宋体" w:cs="宋体"/>
                <w:position w:val="-2"/>
                <w:sz w:val="18"/>
                <w:szCs w:val="18"/>
              </w:rPr>
            </w:pPr>
          </w:p>
        </w:tc>
        <w:tc>
          <w:tcPr>
            <w:tcW w:w="249" w:type="pct"/>
          </w:tcPr>
          <w:p w14:paraId="0B9DCCEC">
            <w:pPr>
              <w:spacing w:line="440" w:lineRule="exact"/>
              <w:jc w:val="left"/>
              <w:rPr>
                <w:rFonts w:ascii="宋体" w:hAnsi="宋体" w:cs="宋体"/>
                <w:position w:val="-2"/>
                <w:sz w:val="18"/>
                <w:szCs w:val="18"/>
              </w:rPr>
            </w:pPr>
          </w:p>
        </w:tc>
        <w:tc>
          <w:tcPr>
            <w:tcW w:w="483" w:type="pct"/>
          </w:tcPr>
          <w:p w14:paraId="3FCB29EA">
            <w:pPr>
              <w:spacing w:line="440" w:lineRule="exact"/>
              <w:jc w:val="left"/>
              <w:rPr>
                <w:rFonts w:ascii="宋体" w:hAnsi="宋体" w:cs="宋体"/>
                <w:position w:val="-2"/>
                <w:sz w:val="18"/>
                <w:szCs w:val="18"/>
              </w:rPr>
            </w:pPr>
          </w:p>
        </w:tc>
        <w:tc>
          <w:tcPr>
            <w:tcW w:w="327" w:type="pct"/>
          </w:tcPr>
          <w:p w14:paraId="7013C7FA">
            <w:pPr>
              <w:spacing w:line="440" w:lineRule="exact"/>
              <w:jc w:val="left"/>
              <w:rPr>
                <w:rFonts w:ascii="宋体" w:hAnsi="宋体" w:cs="宋体"/>
                <w:position w:val="-2"/>
                <w:sz w:val="18"/>
                <w:szCs w:val="18"/>
              </w:rPr>
            </w:pPr>
          </w:p>
        </w:tc>
        <w:tc>
          <w:tcPr>
            <w:tcW w:w="354" w:type="pct"/>
          </w:tcPr>
          <w:p w14:paraId="41EBB715">
            <w:pPr>
              <w:spacing w:line="440" w:lineRule="exact"/>
              <w:jc w:val="left"/>
              <w:rPr>
                <w:rFonts w:ascii="宋体" w:hAnsi="宋体" w:cs="宋体"/>
                <w:position w:val="-2"/>
                <w:sz w:val="18"/>
                <w:szCs w:val="18"/>
              </w:rPr>
            </w:pPr>
          </w:p>
        </w:tc>
        <w:tc>
          <w:tcPr>
            <w:tcW w:w="354" w:type="pct"/>
          </w:tcPr>
          <w:p w14:paraId="0ADB84D0">
            <w:pPr>
              <w:spacing w:line="440" w:lineRule="exact"/>
              <w:jc w:val="left"/>
              <w:rPr>
                <w:rFonts w:ascii="宋体" w:hAnsi="宋体" w:cs="宋体"/>
                <w:position w:val="-2"/>
                <w:sz w:val="18"/>
                <w:szCs w:val="18"/>
              </w:rPr>
            </w:pPr>
          </w:p>
        </w:tc>
        <w:tc>
          <w:tcPr>
            <w:tcW w:w="354" w:type="pct"/>
          </w:tcPr>
          <w:p w14:paraId="2282CD6C">
            <w:pPr>
              <w:spacing w:line="440" w:lineRule="exact"/>
              <w:jc w:val="left"/>
              <w:rPr>
                <w:rFonts w:ascii="宋体" w:hAnsi="宋体" w:cs="宋体"/>
                <w:position w:val="-2"/>
                <w:sz w:val="18"/>
                <w:szCs w:val="18"/>
              </w:rPr>
            </w:pPr>
          </w:p>
        </w:tc>
        <w:tc>
          <w:tcPr>
            <w:tcW w:w="354" w:type="pct"/>
          </w:tcPr>
          <w:p w14:paraId="0F0F6202">
            <w:pPr>
              <w:spacing w:line="440" w:lineRule="exact"/>
              <w:jc w:val="left"/>
              <w:rPr>
                <w:rFonts w:ascii="宋体" w:hAnsi="宋体" w:cs="宋体"/>
                <w:position w:val="-2"/>
                <w:sz w:val="18"/>
                <w:szCs w:val="18"/>
              </w:rPr>
            </w:pPr>
          </w:p>
        </w:tc>
        <w:tc>
          <w:tcPr>
            <w:tcW w:w="357" w:type="pct"/>
          </w:tcPr>
          <w:p w14:paraId="5C2F9BED">
            <w:pPr>
              <w:spacing w:line="440" w:lineRule="exact"/>
              <w:jc w:val="left"/>
              <w:rPr>
                <w:rFonts w:ascii="宋体" w:hAnsi="宋体" w:cs="宋体"/>
                <w:position w:val="-2"/>
                <w:sz w:val="18"/>
                <w:szCs w:val="18"/>
              </w:rPr>
            </w:pPr>
          </w:p>
        </w:tc>
        <w:tc>
          <w:tcPr>
            <w:tcW w:w="357" w:type="pct"/>
          </w:tcPr>
          <w:p w14:paraId="297DAB97">
            <w:pPr>
              <w:spacing w:line="440" w:lineRule="exact"/>
              <w:jc w:val="left"/>
              <w:rPr>
                <w:rFonts w:ascii="宋体" w:hAnsi="宋体" w:cs="宋体"/>
                <w:position w:val="-2"/>
                <w:sz w:val="18"/>
                <w:szCs w:val="18"/>
              </w:rPr>
            </w:pPr>
          </w:p>
        </w:tc>
      </w:tr>
      <w:bookmarkEnd w:id="237"/>
    </w:tbl>
    <w:p w14:paraId="284B1348">
      <w:pPr>
        <w:pStyle w:val="201"/>
        <w:rPr>
          <w:vanish w:val="0"/>
        </w:rPr>
      </w:pPr>
    </w:p>
    <w:bookmarkEnd w:id="27"/>
    <w:p w14:paraId="632F78A3">
      <w:pPr>
        <w:pStyle w:val="58"/>
        <w:ind w:firstLine="0" w:firstLineChars="0"/>
        <w:jc w:val="center"/>
      </w:pPr>
      <w:bookmarkStart w:id="240" w:name="BookMark8"/>
    </w:p>
    <w:bookmarkEnd w:id="240"/>
    <w:p w14:paraId="2F33E9FF">
      <w:pPr>
        <w:pStyle w:val="58"/>
        <w:ind w:firstLine="0" w:firstLineChars="0"/>
        <w:jc w:val="center"/>
        <w:sectPr>
          <w:pgSz w:w="11906" w:h="16838"/>
          <w:pgMar w:top="2410" w:right="1134" w:bottom="1134" w:left="1134" w:header="1418" w:footer="1134" w:gutter="284"/>
          <w:cols w:space="425" w:num="1"/>
          <w:formProt w:val="0"/>
          <w:docGrid w:linePitch="312" w:charSpace="0"/>
        </w:sectPr>
      </w:pPr>
    </w:p>
    <w:p w14:paraId="75A49AE0">
      <w:pPr>
        <w:pStyle w:val="58"/>
        <w:ind w:firstLine="420"/>
        <w:jc w:val="center"/>
        <w:outlineLvl w:val="0"/>
        <w:rPr>
          <w:rFonts w:ascii="黑体" w:hAnsi="Calibri" w:eastAsia="黑体"/>
          <w:highlight w:val="red"/>
        </w:rPr>
      </w:pPr>
      <w:bookmarkStart w:id="241" w:name="_Toc24876"/>
      <w:r>
        <w:rPr>
          <w:rFonts w:hint="eastAsia" w:ascii="黑体" w:hAnsi="Calibri" w:eastAsia="黑体"/>
        </w:rPr>
        <w:t>参 考 文 献</w:t>
      </w:r>
      <w:bookmarkEnd w:id="241"/>
    </w:p>
    <w:p w14:paraId="46D668E7">
      <w:pPr>
        <w:pStyle w:val="58"/>
        <w:ind w:firstLine="0" w:firstLineChars="0"/>
        <w:jc w:val="left"/>
      </w:pPr>
      <w:r>
        <w:rPr>
          <w:rFonts w:hint="eastAsia"/>
        </w:rPr>
        <w:t>[1] 《海南经济特区禁止生产运输储存销售使用农药名录》</w:t>
      </w:r>
    </w:p>
    <w:p w14:paraId="2A83448E">
      <w:pPr>
        <w:pStyle w:val="58"/>
        <w:ind w:firstLine="0" w:firstLineChars="0"/>
        <w:jc w:val="left"/>
      </w:pPr>
      <w:r>
        <w:rPr>
          <w:rFonts w:hint="eastAsia"/>
        </w:rPr>
        <w:t>[2] 《定量包装商品计量监督管理办法》</w:t>
      </w:r>
    </w:p>
    <w:p w14:paraId="08E9BEE0">
      <w:pPr>
        <w:pStyle w:val="58"/>
        <w:ind w:firstLine="0" w:firstLineChars="0"/>
        <w:jc w:val="center"/>
      </w:pPr>
      <w:r>
        <w:drawing>
          <wp:inline distT="0" distB="0" distL="0" distR="0">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3">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sectPr>
      <w:pgSz w:w="11906" w:h="16838"/>
      <w:pgMar w:top="2410"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17B54">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3D034A">
    <w:pPr>
      <w:pStyle w:val="18"/>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E9E84">
    <w:pPr>
      <w:pStyle w:val="18"/>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33509">
    <w:pPr>
      <w:pStyle w:val="54"/>
    </w:pPr>
    <w:r>
      <w:fldChar w:fldCharType="begin"/>
    </w:r>
    <w:r>
      <w:instrText xml:space="preserve">PAGE   \* MERGEFORMAT</w:instrText>
    </w:r>
    <w:r>
      <w:fldChar w:fldCharType="separate"/>
    </w:r>
    <w:r>
      <w:rPr>
        <w:lang w:val="zh-CN"/>
      </w:rPr>
      <w:t>8</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BFA59">
    <w:pPr>
      <w:pStyle w:val="54"/>
    </w:pPr>
    <w: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39E4E9">
                          <w:pPr>
                            <w:pStyle w:val="54"/>
                          </w:pPr>
                          <w:r>
                            <w:fldChar w:fldCharType="begin"/>
                          </w:r>
                          <w:r>
                            <w:instrText xml:space="preserve">PAGE   \* MERGEFORMAT</w:instrText>
                          </w:r>
                          <w:r>
                            <w:fldChar w:fldCharType="separate"/>
                          </w:r>
                          <w:r>
                            <w:rPr>
                              <w:lang w:val="zh-CN"/>
                            </w:rP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JScb8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yUnG/KwIAAFcEAAAOAAAAAAAAAAEAIAAAAB8BAABkcnMvZTJvRG9jLnhtbFBLBQYAAAAABgAG&#10;AFkBAAC8BQAAAAA=&#10;">
              <v:fill on="f" focussize="0,0"/>
              <v:stroke on="f" weight="0.5pt"/>
              <v:imagedata o:title=""/>
              <o:lock v:ext="edit" aspectratio="f"/>
              <v:textbox inset="0mm,0mm,0mm,0mm" style="mso-fit-shape-to-text:t;">
                <w:txbxContent>
                  <w:p w14:paraId="3539E4E9">
                    <w:pPr>
                      <w:pStyle w:val="54"/>
                    </w:pPr>
                    <w:r>
                      <w:fldChar w:fldCharType="begin"/>
                    </w:r>
                    <w:r>
                      <w:instrText xml:space="preserve">PAGE   \* MERGEFORMAT</w:instrText>
                    </w:r>
                    <w:r>
                      <w:fldChar w:fldCharType="separate"/>
                    </w:r>
                    <w:r>
                      <w:rPr>
                        <w:lang w:val="zh-CN"/>
                      </w:rPr>
                      <w:t>20</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099AC">
    <w:pPr>
      <w:pStyle w:val="19"/>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11015">
    <w:pPr>
      <w:pStyle w:val="1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0AD55">
    <w:pPr>
      <w:pStyle w:val="1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7A32B">
    <w:pPr>
      <w:pStyle w:val="63"/>
    </w:pPr>
    <w:r>
      <w:fldChar w:fldCharType="begin"/>
    </w:r>
    <w:r>
      <w:instrText xml:space="preserve"> STYLEREF  标准文件_文件编号  \* MERGEFORMAT </w:instrText>
    </w:r>
    <w:r>
      <w:fldChar w:fldCharType="separate"/>
    </w:r>
    <w:r>
      <w:t>DB 46/T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03CCB1"/>
    <w:multiLevelType w:val="singleLevel"/>
    <w:tmpl w:val="9703CCB1"/>
    <w:lvl w:ilvl="0" w:tentative="0">
      <w:start w:val="1"/>
      <w:numFmt w:val="decimal"/>
      <w:suff w:val="nothing"/>
      <w:lvlText w:val="%1）"/>
      <w:lvlJc w:val="left"/>
    </w:lvl>
  </w:abstractNum>
  <w:abstractNum w:abstractNumId="1">
    <w:nsid w:val="00000006"/>
    <w:multiLevelType w:val="multilevel"/>
    <w:tmpl w:val="00000006"/>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pStyle w:val="237"/>
      <w:suff w:val="nothing"/>
      <w:lvlText w:val="%1%2　"/>
      <w:lvlJc w:val="left"/>
      <w:pPr>
        <w:ind w:left="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02837933"/>
    <w:multiLevelType w:val="multilevel"/>
    <w:tmpl w:val="02837933"/>
    <w:lvl w:ilvl="0" w:tentative="0">
      <w:start w:val="1"/>
      <w:numFmt w:val="decimal"/>
      <w:pStyle w:val="66"/>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3">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1"/>
      <w:suff w:val="nothing"/>
      <w:lvlText w:val="%1%2.%3　"/>
      <w:lvlJc w:val="left"/>
      <w:pPr>
        <w:ind w:left="0" w:firstLine="0"/>
      </w:pPr>
    </w:lvl>
    <w:lvl w:ilvl="3" w:tentative="0">
      <w:start w:val="1"/>
      <w:numFmt w:val="decimal"/>
      <w:pStyle w:val="120"/>
      <w:suff w:val="nothing"/>
      <w:lvlText w:val="%1%2.%3.%4　"/>
      <w:lvlJc w:val="left"/>
      <w:pPr>
        <w:ind w:left="0" w:firstLine="0"/>
      </w:pPr>
    </w:lvl>
    <w:lvl w:ilvl="4" w:tentative="0">
      <w:start w:val="1"/>
      <w:numFmt w:val="decimal"/>
      <w:pStyle w:val="155"/>
      <w:suff w:val="nothing"/>
      <w:lvlText w:val="%1%2.%3.%4.%5　"/>
      <w:lvlJc w:val="left"/>
      <w:pPr>
        <w:ind w:left="0" w:firstLine="0"/>
      </w:pPr>
    </w:lvl>
    <w:lvl w:ilvl="5" w:tentative="0">
      <w:start w:val="1"/>
      <w:numFmt w:val="decimal"/>
      <w:pStyle w:val="157"/>
      <w:suff w:val="nothing"/>
      <w:lvlText w:val="%1%2.%3.%4.%5.%6　"/>
      <w:lvlJc w:val="left"/>
      <w:pPr>
        <w:ind w:left="0" w:firstLine="0"/>
      </w:pPr>
    </w:lvl>
    <w:lvl w:ilvl="6" w:tentative="0">
      <w:start w:val="1"/>
      <w:numFmt w:val="decimal"/>
      <w:pStyle w:val="160"/>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4">
    <w:nsid w:val="079102AD"/>
    <w:multiLevelType w:val="multilevel"/>
    <w:tmpl w:val="079102AD"/>
    <w:lvl w:ilvl="0" w:tentative="0">
      <w:start w:val="1"/>
      <w:numFmt w:val="decimal"/>
      <w:pStyle w:val="182"/>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5">
    <w:nsid w:val="07ED3FEA"/>
    <w:multiLevelType w:val="multilevel"/>
    <w:tmpl w:val="07ED3FEA"/>
    <w:lvl w:ilvl="0" w:tentative="0">
      <w:start w:val="1"/>
      <w:numFmt w:val="none"/>
      <w:pStyle w:val="91"/>
      <w:lvlText w:val="%1"/>
      <w:lvlJc w:val="left"/>
      <w:pPr>
        <w:ind w:left="425" w:hanging="425"/>
      </w:pPr>
      <w:rPr>
        <w:rFonts w:hint="eastAsia"/>
      </w:rPr>
    </w:lvl>
    <w:lvl w:ilvl="1" w:tentative="0">
      <w:start w:val="1"/>
      <w:numFmt w:val="decimal"/>
      <w:pStyle w:val="202"/>
      <w:suff w:val="nothing"/>
      <w:lvlText w:val="%10.%2 "/>
      <w:lvlJc w:val="left"/>
      <w:pPr>
        <w:ind w:left="0" w:firstLine="0"/>
      </w:pPr>
      <w:rPr>
        <w:rFonts w:hint="eastAsia" w:ascii="黑体" w:eastAsia="黑体" w:hAnsiTheme="minorHAnsi"/>
        <w:b w:val="0"/>
        <w:i w:val="0"/>
        <w:sz w:val="21"/>
      </w:rPr>
    </w:lvl>
    <w:lvl w:ilvl="2" w:tentative="0">
      <w:start w:val="1"/>
      <w:numFmt w:val="decimal"/>
      <w:pStyle w:val="203"/>
      <w:suff w:val="nothing"/>
      <w:lvlText w:val="%10.%2.%3 "/>
      <w:lvlJc w:val="left"/>
      <w:pPr>
        <w:ind w:left="0" w:firstLine="0"/>
      </w:pPr>
      <w:rPr>
        <w:rFonts w:hint="eastAsia" w:ascii="黑体" w:eastAsia="黑体" w:hAnsiTheme="minorHAnsi"/>
        <w:b w:val="0"/>
        <w:i w:val="0"/>
        <w:sz w:val="21"/>
      </w:rPr>
    </w:lvl>
    <w:lvl w:ilvl="3" w:tentative="0">
      <w:start w:val="1"/>
      <w:numFmt w:val="decimal"/>
      <w:pStyle w:val="204"/>
      <w:suff w:val="nothing"/>
      <w:lvlText w:val="%10.%2.%3.%4 "/>
      <w:lvlJc w:val="left"/>
      <w:pPr>
        <w:ind w:left="0" w:firstLine="0"/>
      </w:pPr>
      <w:rPr>
        <w:rFonts w:hint="eastAsia" w:ascii="黑体" w:eastAsia="黑体" w:hAnsiTheme="minorHAnsi"/>
        <w:b w:val="0"/>
        <w:i w:val="0"/>
        <w:sz w:val="21"/>
      </w:rPr>
    </w:lvl>
    <w:lvl w:ilvl="4" w:tentative="0">
      <w:start w:val="1"/>
      <w:numFmt w:val="decimal"/>
      <w:pStyle w:val="205"/>
      <w:suff w:val="nothing"/>
      <w:lvlText w:val="%10.%2.%3.%4.%5 "/>
      <w:lvlJc w:val="left"/>
      <w:pPr>
        <w:ind w:left="0" w:firstLine="0"/>
      </w:pPr>
      <w:rPr>
        <w:rFonts w:hint="eastAsia" w:ascii="黑体" w:eastAsia="黑体" w:hAnsiTheme="minorHAnsi"/>
        <w:b w:val="0"/>
        <w:i w:val="0"/>
        <w:sz w:val="21"/>
      </w:rPr>
    </w:lvl>
    <w:lvl w:ilvl="5" w:tentative="0">
      <w:start w:val="1"/>
      <w:numFmt w:val="decimal"/>
      <w:pStyle w:val="206"/>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0AE367E9"/>
    <w:multiLevelType w:val="multilevel"/>
    <w:tmpl w:val="0AE367E9"/>
    <w:lvl w:ilvl="0" w:tentative="0">
      <w:start w:val="1"/>
      <w:numFmt w:val="none"/>
      <w:pStyle w:val="183"/>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7">
    <w:nsid w:val="0BDC1670"/>
    <w:multiLevelType w:val="multilevel"/>
    <w:tmpl w:val="0BDC1670"/>
    <w:lvl w:ilvl="0" w:tentative="0">
      <w:start w:val="1"/>
      <w:numFmt w:val="decimal"/>
      <w:pStyle w:val="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0D051F45"/>
    <w:multiLevelType w:val="multilevel"/>
    <w:tmpl w:val="0D051F45"/>
    <w:lvl w:ilvl="0" w:tentative="0">
      <w:start w:val="1"/>
      <w:numFmt w:val="low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9">
    <w:nsid w:val="1AD20F90"/>
    <w:multiLevelType w:val="multilevel"/>
    <w:tmpl w:val="1AD20F90"/>
    <w:lvl w:ilvl="0" w:tentative="0">
      <w:start w:val="1"/>
      <w:numFmt w:val="none"/>
      <w:pStyle w:val="11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1AF15012"/>
    <w:multiLevelType w:val="multilevel"/>
    <w:tmpl w:val="1AF15012"/>
    <w:lvl w:ilvl="0" w:tentative="0">
      <w:start w:val="1"/>
      <w:numFmt w:val="upperLetter"/>
      <w:pStyle w:val="87"/>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1">
    <w:nsid w:val="1EAA1992"/>
    <w:multiLevelType w:val="multilevel"/>
    <w:tmpl w:val="1EAA1992"/>
    <w:lvl w:ilvl="0" w:tentative="0">
      <w:start w:val="1"/>
      <w:numFmt w:val="none"/>
      <w:pStyle w:val="94"/>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2">
    <w:nsid w:val="2C5917C3"/>
    <w:multiLevelType w:val="multilevel"/>
    <w:tmpl w:val="2C5917C3"/>
    <w:lvl w:ilvl="0" w:tentative="0">
      <w:start w:val="1"/>
      <w:numFmt w:val="none"/>
      <w:pStyle w:val="134"/>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9"/>
      <w:lvlText w:val=""/>
      <w:lvlJc w:val="left"/>
      <w:pPr>
        <w:ind w:left="851" w:hanging="431"/>
      </w:pPr>
      <w:rPr>
        <w:rFonts w:hint="default" w:ascii="Symbol" w:hAnsi="Symbol"/>
        <w:sz w:val="21"/>
      </w:rPr>
    </w:lvl>
    <w:lvl w:ilvl="2" w:tentative="0">
      <w:start w:val="1"/>
      <w:numFmt w:val="bullet"/>
      <w:pStyle w:val="174"/>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tentative="0">
      <w:start w:val="1"/>
      <w:numFmt w:val="lowerLetter"/>
      <w:pStyle w:val="103"/>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4">
    <w:nsid w:val="44C50F90"/>
    <w:multiLevelType w:val="multilevel"/>
    <w:tmpl w:val="44C50F90"/>
    <w:lvl w:ilvl="0" w:tentative="0">
      <w:start w:val="1"/>
      <w:numFmt w:val="lowerLetter"/>
      <w:pStyle w:val="176"/>
      <w:lvlText w:val="%1)"/>
      <w:lvlJc w:val="left"/>
      <w:pPr>
        <w:tabs>
          <w:tab w:val="left" w:pos="851"/>
        </w:tabs>
        <w:ind w:left="851" w:hanging="426"/>
      </w:pPr>
      <w:rPr>
        <w:rFonts w:hint="eastAsia" w:ascii="宋体" w:hAnsi="Times New Roman" w:eastAsia="宋体"/>
        <w:sz w:val="21"/>
      </w:rPr>
    </w:lvl>
    <w:lvl w:ilvl="1" w:tentative="0">
      <w:start w:val="1"/>
      <w:numFmt w:val="decimal"/>
      <w:pStyle w:val="111"/>
      <w:lvlText w:val="%2)"/>
      <w:lvlJc w:val="left"/>
      <w:pPr>
        <w:tabs>
          <w:tab w:val="left" w:pos="1276"/>
        </w:tabs>
        <w:ind w:left="1276" w:hanging="425"/>
      </w:pPr>
      <w:rPr>
        <w:rFonts w:hint="eastAsia" w:ascii="宋体" w:hAnsi="Times New Roman" w:eastAsia="宋体"/>
        <w:sz w:val="21"/>
      </w:rPr>
    </w:lvl>
    <w:lvl w:ilvl="2" w:tentative="0">
      <w:start w:val="1"/>
      <w:numFmt w:val="decimal"/>
      <w:pStyle w:val="11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48802D1C"/>
    <w:multiLevelType w:val="multilevel"/>
    <w:tmpl w:val="48802D1C"/>
    <w:lvl w:ilvl="0" w:tentative="0">
      <w:start w:val="1"/>
      <w:numFmt w:val="upperLetter"/>
      <w:pStyle w:val="200"/>
      <w:lvlText w:val="%1"/>
      <w:lvlJc w:val="left"/>
      <w:pPr>
        <w:ind w:left="420" w:hanging="420"/>
      </w:pPr>
      <w:rPr>
        <w:rFonts w:hint="eastAsia"/>
      </w:rPr>
    </w:lvl>
    <w:lvl w:ilvl="1" w:tentative="0">
      <w:start w:val="1"/>
      <w:numFmt w:val="decimal"/>
      <w:pStyle w:val="85"/>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6">
    <w:nsid w:val="4B733A5F"/>
    <w:multiLevelType w:val="multilevel"/>
    <w:tmpl w:val="4B733A5F"/>
    <w:lvl w:ilvl="0" w:tentative="0">
      <w:start w:val="1"/>
      <w:numFmt w:val="decimal"/>
      <w:pStyle w:val="18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7">
    <w:nsid w:val="4E5D0534"/>
    <w:multiLevelType w:val="multilevel"/>
    <w:tmpl w:val="4E5D0534"/>
    <w:lvl w:ilvl="0" w:tentative="0">
      <w:start w:val="1"/>
      <w:numFmt w:val="decimal"/>
      <w:pStyle w:val="118"/>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4632751"/>
    <w:multiLevelType w:val="multilevel"/>
    <w:tmpl w:val="54632751"/>
    <w:lvl w:ilvl="0" w:tentative="0">
      <w:start w:val="1"/>
      <w:numFmt w:val="none"/>
      <w:pStyle w:val="95"/>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9">
    <w:nsid w:val="557C2AF5"/>
    <w:multiLevelType w:val="multilevel"/>
    <w:tmpl w:val="557C2AF5"/>
    <w:lvl w:ilvl="0" w:tentative="0">
      <w:start w:val="1"/>
      <w:numFmt w:val="decimal"/>
      <w:pStyle w:val="116"/>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0">
    <w:nsid w:val="5603797C"/>
    <w:multiLevelType w:val="multilevel"/>
    <w:tmpl w:val="5603797C"/>
    <w:lvl w:ilvl="0" w:tentative="0">
      <w:start w:val="1"/>
      <w:numFmt w:val="upperLetter"/>
      <w:pStyle w:val="201"/>
      <w:suff w:val="space"/>
      <w:lvlText w:val="%1"/>
      <w:lvlJc w:val="left"/>
      <w:pPr>
        <w:ind w:left="425" w:hanging="425"/>
      </w:pPr>
      <w:rPr>
        <w:rFonts w:hint="eastAsia"/>
      </w:rPr>
    </w:lvl>
    <w:lvl w:ilvl="1" w:tentative="0">
      <w:start w:val="1"/>
      <w:numFmt w:val="decimal"/>
      <w:pStyle w:val="79"/>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1">
    <w:nsid w:val="564D2089"/>
    <w:multiLevelType w:val="multilevel"/>
    <w:tmpl w:val="564D2089"/>
    <w:lvl w:ilvl="0" w:tentative="0">
      <w:start w:val="1"/>
      <w:numFmt w:val="none"/>
      <w:pStyle w:val="113"/>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644622F9"/>
    <w:multiLevelType w:val="multilevel"/>
    <w:tmpl w:val="644622F9"/>
    <w:lvl w:ilvl="0" w:tentative="0">
      <w:start w:val="1"/>
      <w:numFmt w:val="upp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3">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4">
    <w:nsid w:val="654A26C9"/>
    <w:multiLevelType w:val="multilevel"/>
    <w:tmpl w:val="654A26C9"/>
    <w:lvl w:ilvl="0" w:tentative="0">
      <w:start w:val="1"/>
      <w:numFmt w:val="none"/>
      <w:pStyle w:val="191"/>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5">
    <w:nsid w:val="657D3FBC"/>
    <w:multiLevelType w:val="multilevel"/>
    <w:tmpl w:val="657D3FBC"/>
    <w:lvl w:ilvl="0" w:tentative="0">
      <w:start w:val="1"/>
      <w:numFmt w:val="upperLetter"/>
      <w:pStyle w:val="78"/>
      <w:suff w:val="nothing"/>
      <w:lvlText w:val="附录%1"/>
      <w:lvlJc w:val="left"/>
      <w:pPr>
        <w:ind w:left="0" w:firstLine="0"/>
      </w:pPr>
      <w:rPr>
        <w:rFonts w:hint="eastAsia"/>
        <w:spacing w:val="100"/>
      </w:rPr>
    </w:lvl>
    <w:lvl w:ilvl="1" w:tentative="0">
      <w:start w:val="1"/>
      <w:numFmt w:val="decimal"/>
      <w:pStyle w:val="80"/>
      <w:suff w:val="nothing"/>
      <w:lvlText w:val="%1.%2　"/>
      <w:lvlJc w:val="left"/>
      <w:pPr>
        <w:ind w:left="0" w:firstLine="0"/>
      </w:pPr>
      <w:rPr>
        <w:rFonts w:hint="eastAsia" w:ascii="黑体" w:eastAsia="黑体"/>
        <w:b w:val="0"/>
        <w:i w:val="0"/>
        <w:sz w:val="21"/>
      </w:rPr>
    </w:lvl>
    <w:lvl w:ilvl="2" w:tentative="0">
      <w:start w:val="1"/>
      <w:numFmt w:val="decimal"/>
      <w:pStyle w:val="81"/>
      <w:suff w:val="nothing"/>
      <w:lvlText w:val="%1.%2.%3　"/>
      <w:lvlJc w:val="left"/>
      <w:pPr>
        <w:ind w:left="0" w:firstLine="0"/>
      </w:pPr>
      <w:rPr>
        <w:rFonts w:hint="eastAsia" w:ascii="黑体" w:eastAsia="黑体"/>
        <w:b w:val="0"/>
        <w:i w:val="0"/>
        <w:sz w:val="21"/>
      </w:rPr>
    </w:lvl>
    <w:lvl w:ilvl="3" w:tentative="0">
      <w:start w:val="1"/>
      <w:numFmt w:val="decimal"/>
      <w:pStyle w:val="83"/>
      <w:suff w:val="nothing"/>
      <w:lvlText w:val="%1.%2.%3.%4　"/>
      <w:lvlJc w:val="left"/>
      <w:pPr>
        <w:ind w:left="0" w:firstLine="0"/>
      </w:pPr>
      <w:rPr>
        <w:rFonts w:hint="eastAsia" w:ascii="黑体" w:eastAsia="黑体"/>
        <w:b w:val="0"/>
        <w:i w:val="0"/>
        <w:sz w:val="21"/>
      </w:rPr>
    </w:lvl>
    <w:lvl w:ilvl="4" w:tentative="0">
      <w:start w:val="1"/>
      <w:numFmt w:val="decimal"/>
      <w:pStyle w:val="84"/>
      <w:suff w:val="nothing"/>
      <w:lvlText w:val="%1.%2.%3.%4.%5　"/>
      <w:lvlJc w:val="left"/>
      <w:pPr>
        <w:ind w:left="0" w:firstLine="0"/>
      </w:pPr>
      <w:rPr>
        <w:rFonts w:hint="eastAsia" w:ascii="黑体" w:eastAsia="黑体"/>
        <w:b w:val="0"/>
        <w:i w:val="0"/>
        <w:sz w:val="21"/>
      </w:rPr>
    </w:lvl>
    <w:lvl w:ilvl="5" w:tentative="0">
      <w:start w:val="1"/>
      <w:numFmt w:val="decimal"/>
      <w:pStyle w:val="86"/>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6">
    <w:nsid w:val="69506ABF"/>
    <w:multiLevelType w:val="multilevel"/>
    <w:tmpl w:val="69506ABF"/>
    <w:lvl w:ilvl="0" w:tentative="0">
      <w:start w:val="1"/>
      <w:numFmt w:val="bullet"/>
      <w:pStyle w:val="190"/>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7">
    <w:nsid w:val="6CA41985"/>
    <w:multiLevelType w:val="multilevel"/>
    <w:tmpl w:val="6CA41985"/>
    <w:lvl w:ilvl="0" w:tentative="0">
      <w:start w:val="1"/>
      <w:numFmt w:val="decimal"/>
      <w:pStyle w:val="99"/>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
    <w:nsid w:val="6CE42AC1"/>
    <w:multiLevelType w:val="multilevel"/>
    <w:tmpl w:val="6CE42AC1"/>
    <w:lvl w:ilvl="0" w:tentative="0">
      <w:start w:val="1"/>
      <w:numFmt w:val="lowerLetter"/>
      <w:pStyle w:val="175"/>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CEA2025"/>
    <w:multiLevelType w:val="multilevel"/>
    <w:tmpl w:val="6CEA2025"/>
    <w:lvl w:ilvl="0" w:tentative="0">
      <w:start w:val="1"/>
      <w:numFmt w:val="none"/>
      <w:pStyle w:val="154"/>
      <w:suff w:val="nothing"/>
      <w:lvlText w:val="%1"/>
      <w:lvlJc w:val="left"/>
      <w:pPr>
        <w:ind w:left="0" w:firstLine="0"/>
      </w:pPr>
      <w:rPr>
        <w:rFonts w:hint="eastAsia"/>
      </w:rPr>
    </w:lvl>
    <w:lvl w:ilvl="1" w:tentative="0">
      <w:start w:val="1"/>
      <w:numFmt w:val="decimal"/>
      <w:pStyle w:val="106"/>
      <w:suff w:val="nothing"/>
      <w:lvlText w:val="%1%2　"/>
      <w:lvlJc w:val="left"/>
      <w:pPr>
        <w:ind w:left="0" w:firstLine="0"/>
      </w:pPr>
      <w:rPr>
        <w:rFonts w:hint="eastAsia" w:ascii="黑体" w:eastAsia="黑体"/>
        <w:b w:val="0"/>
        <w:i w:val="0"/>
        <w:sz w:val="21"/>
      </w:rPr>
    </w:lvl>
    <w:lvl w:ilvl="2" w:tentative="0">
      <w:start w:val="1"/>
      <w:numFmt w:val="decimal"/>
      <w:pStyle w:val="10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7"/>
      <w:suff w:val="nothing"/>
      <w:lvlText w:val="%1%2.%3.%4　"/>
      <w:lvlJc w:val="left"/>
      <w:pPr>
        <w:ind w:left="0" w:firstLine="0"/>
      </w:pPr>
      <w:rPr>
        <w:rFonts w:hint="eastAsia" w:ascii="黑体" w:eastAsia="黑体"/>
        <w:b w:val="0"/>
        <w:i w:val="0"/>
        <w:sz w:val="21"/>
      </w:rPr>
    </w:lvl>
    <w:lvl w:ilvl="4" w:tentative="0">
      <w:start w:val="1"/>
      <w:numFmt w:val="decimal"/>
      <w:pStyle w:val="96"/>
      <w:suff w:val="nothing"/>
      <w:lvlText w:val="%1%2.%3.%4.%5　"/>
      <w:lvlJc w:val="left"/>
      <w:pPr>
        <w:ind w:left="0" w:firstLine="0"/>
      </w:pPr>
      <w:rPr>
        <w:rFonts w:hint="eastAsia" w:ascii="黑体" w:eastAsia="黑体"/>
        <w:b w:val="0"/>
        <w:i w:val="0"/>
        <w:sz w:val="21"/>
      </w:rPr>
    </w:lvl>
    <w:lvl w:ilvl="5" w:tentative="0">
      <w:start w:val="1"/>
      <w:numFmt w:val="decimal"/>
      <w:pStyle w:val="100"/>
      <w:suff w:val="nothing"/>
      <w:lvlText w:val="%1%2.%3.%4.%5.%6　"/>
      <w:lvlJc w:val="left"/>
      <w:pPr>
        <w:ind w:left="0" w:firstLine="0"/>
      </w:pPr>
      <w:rPr>
        <w:rFonts w:hint="eastAsia" w:ascii="黑体" w:eastAsia="黑体"/>
        <w:b w:val="0"/>
        <w:i w:val="0"/>
        <w:sz w:val="21"/>
      </w:rPr>
    </w:lvl>
    <w:lvl w:ilvl="6" w:tentative="0">
      <w:start w:val="1"/>
      <w:numFmt w:val="decimal"/>
      <w:pStyle w:val="105"/>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0">
    <w:nsid w:val="6DBF04F4"/>
    <w:multiLevelType w:val="multilevel"/>
    <w:tmpl w:val="6DBF04F4"/>
    <w:lvl w:ilvl="0" w:tentative="0">
      <w:start w:val="1"/>
      <w:numFmt w:val="none"/>
      <w:pStyle w:val="181"/>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1">
    <w:nsid w:val="6DF35F19"/>
    <w:multiLevelType w:val="multilevel"/>
    <w:tmpl w:val="6DF35F19"/>
    <w:lvl w:ilvl="0" w:tentative="0">
      <w:start w:val="1"/>
      <w:numFmt w:val="decimal"/>
      <w:pStyle w:val="117"/>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2">
    <w:nsid w:val="76933334"/>
    <w:multiLevelType w:val="multilevel"/>
    <w:tmpl w:val="76933334"/>
    <w:lvl w:ilvl="0" w:tentative="0">
      <w:start w:val="1"/>
      <w:numFmt w:val="none"/>
      <w:pStyle w:val="141"/>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29"/>
  </w:num>
  <w:num w:numId="3">
    <w:abstractNumId w:val="7"/>
  </w:num>
  <w:num w:numId="4">
    <w:abstractNumId w:val="25"/>
  </w:num>
  <w:num w:numId="5">
    <w:abstractNumId w:val="20"/>
  </w:num>
  <w:num w:numId="6">
    <w:abstractNumId w:val="15"/>
  </w:num>
  <w:num w:numId="7">
    <w:abstractNumId w:val="10"/>
  </w:num>
  <w:num w:numId="8">
    <w:abstractNumId w:val="5"/>
  </w:num>
  <w:num w:numId="9">
    <w:abstractNumId w:val="11"/>
  </w:num>
  <w:num w:numId="10">
    <w:abstractNumId w:val="18"/>
  </w:num>
  <w:num w:numId="11">
    <w:abstractNumId w:val="27"/>
  </w:num>
  <w:num w:numId="12">
    <w:abstractNumId w:val="13"/>
  </w:num>
  <w:num w:numId="13">
    <w:abstractNumId w:val="14"/>
  </w:num>
  <w:num w:numId="14">
    <w:abstractNumId w:val="9"/>
  </w:num>
  <w:num w:numId="15">
    <w:abstractNumId w:val="21"/>
  </w:num>
  <w:num w:numId="16">
    <w:abstractNumId w:val="23"/>
  </w:num>
  <w:num w:numId="17">
    <w:abstractNumId w:val="19"/>
  </w:num>
  <w:num w:numId="18">
    <w:abstractNumId w:val="31"/>
  </w:num>
  <w:num w:numId="19">
    <w:abstractNumId w:val="17"/>
  </w:num>
  <w:num w:numId="20">
    <w:abstractNumId w:val="3"/>
  </w:num>
  <w:num w:numId="21">
    <w:abstractNumId w:val="12"/>
  </w:num>
  <w:num w:numId="22">
    <w:abstractNumId w:val="32"/>
  </w:num>
  <w:num w:numId="23">
    <w:abstractNumId w:val="22"/>
  </w:num>
  <w:num w:numId="24">
    <w:abstractNumId w:val="8"/>
  </w:num>
  <w:num w:numId="25">
    <w:abstractNumId w:val="28"/>
  </w:num>
  <w:num w:numId="26">
    <w:abstractNumId w:val="30"/>
  </w:num>
  <w:num w:numId="27">
    <w:abstractNumId w:val="4"/>
  </w:num>
  <w:num w:numId="28">
    <w:abstractNumId w:val="6"/>
  </w:num>
  <w:num w:numId="29">
    <w:abstractNumId w:val="16"/>
  </w:num>
  <w:num w:numId="30">
    <w:abstractNumId w:val="26"/>
  </w:num>
  <w:num w:numId="31">
    <w:abstractNumId w:val="24"/>
  </w:num>
  <w:num w:numId="32">
    <w:abstractNumId w:val="1"/>
  </w:num>
  <w:num w:numId="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dit="forms" w:enforcement="1" w:cryptProviderType="rsaAES" w:cryptAlgorithmClass="hash" w:cryptAlgorithmType="typeAny" w:cryptAlgorithmSid="14" w:cryptSpinCount="100000" w:hash="oEWfYGn6ffketr8DWpRZvOOFd6xdD3oOiCkUle2F8yjjZfAs/rwYqLQRAKu23AGb4lwBegqFX6PS4cb6gqzhLw==" w:salt="0KZBvLnkcSbfGvqadqrdfw=="/>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Y0M2JlYjBmNTNkZDFjM2ZjMDgzMDNjYTI1ZTMxMDEifQ=="/>
    <w:docVar w:name="KSO_WPS_MARK_KEY" w:val="8f036fae-00dd-480b-ba55-27c884b8e4ae"/>
  </w:docVars>
  <w:rsids>
    <w:rsidRoot w:val="00172A27"/>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260CB"/>
    <w:rsid w:val="000303C3"/>
    <w:rsid w:val="00032B46"/>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2285"/>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0A"/>
    <w:rsid w:val="000C2FBD"/>
    <w:rsid w:val="000C4B41"/>
    <w:rsid w:val="000C57D6"/>
    <w:rsid w:val="000C6362"/>
    <w:rsid w:val="000C7666"/>
    <w:rsid w:val="000D0A9C"/>
    <w:rsid w:val="000D1795"/>
    <w:rsid w:val="000D329A"/>
    <w:rsid w:val="000D39CB"/>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2A27"/>
    <w:rsid w:val="0017340B"/>
    <w:rsid w:val="00173FB1"/>
    <w:rsid w:val="001745E5"/>
    <w:rsid w:val="00176DFD"/>
    <w:rsid w:val="001852C9"/>
    <w:rsid w:val="00190087"/>
    <w:rsid w:val="00190AC5"/>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269D"/>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614"/>
    <w:rsid w:val="002A5977"/>
    <w:rsid w:val="002A5A13"/>
    <w:rsid w:val="002A757F"/>
    <w:rsid w:val="002A7F44"/>
    <w:rsid w:val="002B0C40"/>
    <w:rsid w:val="002B1966"/>
    <w:rsid w:val="002B4508"/>
    <w:rsid w:val="002B54B7"/>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25E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606CA"/>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6853"/>
    <w:rsid w:val="003974EB"/>
    <w:rsid w:val="00397CC5"/>
    <w:rsid w:val="003A1582"/>
    <w:rsid w:val="003A4077"/>
    <w:rsid w:val="003B09AD"/>
    <w:rsid w:val="003B1F18"/>
    <w:rsid w:val="003B2F61"/>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11C2"/>
    <w:rsid w:val="00432DAA"/>
    <w:rsid w:val="00434305"/>
    <w:rsid w:val="004343D6"/>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00A3"/>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489"/>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166F"/>
    <w:rsid w:val="00612952"/>
    <w:rsid w:val="00614CC1"/>
    <w:rsid w:val="00615A9D"/>
    <w:rsid w:val="00617387"/>
    <w:rsid w:val="006205D6"/>
    <w:rsid w:val="006252D8"/>
    <w:rsid w:val="006259BC"/>
    <w:rsid w:val="0062636B"/>
    <w:rsid w:val="00631227"/>
    <w:rsid w:val="00632182"/>
    <w:rsid w:val="00632AE0"/>
    <w:rsid w:val="00633C17"/>
    <w:rsid w:val="00634D9E"/>
    <w:rsid w:val="00636E3E"/>
    <w:rsid w:val="006379F7"/>
    <w:rsid w:val="00637E4D"/>
    <w:rsid w:val="00640620"/>
    <w:rsid w:val="00641A1F"/>
    <w:rsid w:val="00645904"/>
    <w:rsid w:val="0065072B"/>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E6810"/>
    <w:rsid w:val="006F03A8"/>
    <w:rsid w:val="006F2ACA"/>
    <w:rsid w:val="006F2ADC"/>
    <w:rsid w:val="006F2BFE"/>
    <w:rsid w:val="006F31E9"/>
    <w:rsid w:val="006F6284"/>
    <w:rsid w:val="007002C5"/>
    <w:rsid w:val="00704387"/>
    <w:rsid w:val="00705291"/>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40F"/>
    <w:rsid w:val="00737796"/>
    <w:rsid w:val="0074165C"/>
    <w:rsid w:val="00742C35"/>
    <w:rsid w:val="007432CA"/>
    <w:rsid w:val="007439EB"/>
    <w:rsid w:val="00743CB4"/>
    <w:rsid w:val="00743F0A"/>
    <w:rsid w:val="007444E8"/>
    <w:rsid w:val="0074548E"/>
    <w:rsid w:val="00745773"/>
    <w:rsid w:val="00746800"/>
    <w:rsid w:val="00746CD2"/>
    <w:rsid w:val="007501A8"/>
    <w:rsid w:val="00750D61"/>
    <w:rsid w:val="00750EE1"/>
    <w:rsid w:val="00752B4D"/>
    <w:rsid w:val="00755228"/>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D9A"/>
    <w:rsid w:val="00783ECF"/>
    <w:rsid w:val="0078413A"/>
    <w:rsid w:val="00785F11"/>
    <w:rsid w:val="007959E8"/>
    <w:rsid w:val="00795E9C"/>
    <w:rsid w:val="007A0521"/>
    <w:rsid w:val="007A2E12"/>
    <w:rsid w:val="007A3475"/>
    <w:rsid w:val="007A41C8"/>
    <w:rsid w:val="007A4369"/>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E58FE"/>
    <w:rsid w:val="007F0ED8"/>
    <w:rsid w:val="007F0F63"/>
    <w:rsid w:val="007F75CE"/>
    <w:rsid w:val="008013A4"/>
    <w:rsid w:val="008027CE"/>
    <w:rsid w:val="00802F42"/>
    <w:rsid w:val="00804383"/>
    <w:rsid w:val="00804BB7"/>
    <w:rsid w:val="00804D41"/>
    <w:rsid w:val="00810257"/>
    <w:rsid w:val="00810335"/>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5C14"/>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13E"/>
    <w:rsid w:val="009245F5"/>
    <w:rsid w:val="009249EC"/>
    <w:rsid w:val="009273B3"/>
    <w:rsid w:val="009305B5"/>
    <w:rsid w:val="009429D5"/>
    <w:rsid w:val="00942BF1"/>
    <w:rsid w:val="00945180"/>
    <w:rsid w:val="00945428"/>
    <w:rsid w:val="00945D07"/>
    <w:rsid w:val="0094607B"/>
    <w:rsid w:val="00953604"/>
    <w:rsid w:val="0095496B"/>
    <w:rsid w:val="009610DC"/>
    <w:rsid w:val="00961490"/>
    <w:rsid w:val="0096381A"/>
    <w:rsid w:val="00965E04"/>
    <w:rsid w:val="009674AD"/>
    <w:rsid w:val="00970CDC"/>
    <w:rsid w:val="00971367"/>
    <w:rsid w:val="00977010"/>
    <w:rsid w:val="00977D02"/>
    <w:rsid w:val="009809BB"/>
    <w:rsid w:val="0098364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5B26"/>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49C8"/>
    <w:rsid w:val="00AF5398"/>
    <w:rsid w:val="00B049AF"/>
    <w:rsid w:val="00B07242"/>
    <w:rsid w:val="00B10534"/>
    <w:rsid w:val="00B113DB"/>
    <w:rsid w:val="00B11D8A"/>
    <w:rsid w:val="00B12981"/>
    <w:rsid w:val="00B147DD"/>
    <w:rsid w:val="00B156FD"/>
    <w:rsid w:val="00B21F61"/>
    <w:rsid w:val="00B23FB7"/>
    <w:rsid w:val="00B255DF"/>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35FF"/>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00A7"/>
    <w:rsid w:val="00BE22F3"/>
    <w:rsid w:val="00BE5B52"/>
    <w:rsid w:val="00BE7B8D"/>
    <w:rsid w:val="00BF0993"/>
    <w:rsid w:val="00BF10A9"/>
    <w:rsid w:val="00BF1703"/>
    <w:rsid w:val="00BF231C"/>
    <w:rsid w:val="00BF51E5"/>
    <w:rsid w:val="00BF74A6"/>
    <w:rsid w:val="00C013AD"/>
    <w:rsid w:val="00C04904"/>
    <w:rsid w:val="00C056B3"/>
    <w:rsid w:val="00C06274"/>
    <w:rsid w:val="00C103E5"/>
    <w:rsid w:val="00C13319"/>
    <w:rsid w:val="00C13EE9"/>
    <w:rsid w:val="00C21540"/>
    <w:rsid w:val="00C21906"/>
    <w:rsid w:val="00C21BFA"/>
    <w:rsid w:val="00C22148"/>
    <w:rsid w:val="00C24C8D"/>
    <w:rsid w:val="00C25FE2"/>
    <w:rsid w:val="00C26B53"/>
    <w:rsid w:val="00C279B2"/>
    <w:rsid w:val="00C33E50"/>
    <w:rsid w:val="00C34C20"/>
    <w:rsid w:val="00C35A3E"/>
    <w:rsid w:val="00C37F5B"/>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4EC2"/>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CF7FE1"/>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3602C"/>
    <w:rsid w:val="00D4162B"/>
    <w:rsid w:val="00D4514F"/>
    <w:rsid w:val="00D451E2"/>
    <w:rsid w:val="00D45E89"/>
    <w:rsid w:val="00D45E8D"/>
    <w:rsid w:val="00D466AE"/>
    <w:rsid w:val="00D4734F"/>
    <w:rsid w:val="00D51BF3"/>
    <w:rsid w:val="00D60D67"/>
    <w:rsid w:val="00D65E89"/>
    <w:rsid w:val="00D66846"/>
    <w:rsid w:val="00D675FB"/>
    <w:rsid w:val="00D71F25"/>
    <w:rsid w:val="00D72A9C"/>
    <w:rsid w:val="00D77031"/>
    <w:rsid w:val="00D84941"/>
    <w:rsid w:val="00D84FA1"/>
    <w:rsid w:val="00D851F0"/>
    <w:rsid w:val="00D86DB7"/>
    <w:rsid w:val="00D91073"/>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2800"/>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118D"/>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39EE"/>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6A3A"/>
    <w:rsid w:val="00EB74DB"/>
    <w:rsid w:val="00EC5359"/>
    <w:rsid w:val="00EC562A"/>
    <w:rsid w:val="00ED067A"/>
    <w:rsid w:val="00ED2B50"/>
    <w:rsid w:val="00EE0350"/>
    <w:rsid w:val="00EE0719"/>
    <w:rsid w:val="00EE0E80"/>
    <w:rsid w:val="00EE54A6"/>
    <w:rsid w:val="00EE613F"/>
    <w:rsid w:val="00EE7295"/>
    <w:rsid w:val="00EE7869"/>
    <w:rsid w:val="00EE7D61"/>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6AA3"/>
    <w:rsid w:val="00F474D0"/>
    <w:rsid w:val="00F50179"/>
    <w:rsid w:val="00F515EE"/>
    <w:rsid w:val="00F56511"/>
    <w:rsid w:val="00F6194E"/>
    <w:rsid w:val="00F623AC"/>
    <w:rsid w:val="00F6412A"/>
    <w:rsid w:val="00F648B7"/>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7D1"/>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5878"/>
    <w:rsid w:val="00FE7E79"/>
    <w:rsid w:val="00FF3E7D"/>
    <w:rsid w:val="00FF5B99"/>
    <w:rsid w:val="00FF730C"/>
    <w:rsid w:val="00FF73F4"/>
    <w:rsid w:val="00FF7CE4"/>
    <w:rsid w:val="00FF7E39"/>
    <w:rsid w:val="01DE62A0"/>
    <w:rsid w:val="01E07299"/>
    <w:rsid w:val="0441356C"/>
    <w:rsid w:val="046D0DC6"/>
    <w:rsid w:val="07215298"/>
    <w:rsid w:val="075D160F"/>
    <w:rsid w:val="08940DDD"/>
    <w:rsid w:val="09E75533"/>
    <w:rsid w:val="0B1E1EE5"/>
    <w:rsid w:val="0B686AB5"/>
    <w:rsid w:val="0C0C711F"/>
    <w:rsid w:val="0EB86F32"/>
    <w:rsid w:val="0FCD6E9C"/>
    <w:rsid w:val="151237B6"/>
    <w:rsid w:val="15907EEF"/>
    <w:rsid w:val="16261AD2"/>
    <w:rsid w:val="1A6D0FF9"/>
    <w:rsid w:val="1B1175F6"/>
    <w:rsid w:val="1E2D2047"/>
    <w:rsid w:val="1F4E7AE0"/>
    <w:rsid w:val="243816BE"/>
    <w:rsid w:val="243D2E38"/>
    <w:rsid w:val="265B1264"/>
    <w:rsid w:val="287700A8"/>
    <w:rsid w:val="28D86208"/>
    <w:rsid w:val="2B2F6E18"/>
    <w:rsid w:val="2D891C67"/>
    <w:rsid w:val="2DA90D03"/>
    <w:rsid w:val="2EA50592"/>
    <w:rsid w:val="3011436C"/>
    <w:rsid w:val="307A753E"/>
    <w:rsid w:val="31F91B2E"/>
    <w:rsid w:val="38B21092"/>
    <w:rsid w:val="3ABC0545"/>
    <w:rsid w:val="3C3B2F7E"/>
    <w:rsid w:val="3D5D4AA7"/>
    <w:rsid w:val="40063B98"/>
    <w:rsid w:val="402572D1"/>
    <w:rsid w:val="40BA3BBD"/>
    <w:rsid w:val="46794B93"/>
    <w:rsid w:val="4A08695A"/>
    <w:rsid w:val="4C900DAB"/>
    <w:rsid w:val="4F0A15DB"/>
    <w:rsid w:val="4F5B2FDD"/>
    <w:rsid w:val="52A41123"/>
    <w:rsid w:val="53821044"/>
    <w:rsid w:val="54A0435F"/>
    <w:rsid w:val="557B4484"/>
    <w:rsid w:val="55E47E5C"/>
    <w:rsid w:val="58464E74"/>
    <w:rsid w:val="59F15459"/>
    <w:rsid w:val="5A7979FA"/>
    <w:rsid w:val="5BCA1D59"/>
    <w:rsid w:val="5C6E3295"/>
    <w:rsid w:val="5F466C62"/>
    <w:rsid w:val="5FAE7BF2"/>
    <w:rsid w:val="61484013"/>
    <w:rsid w:val="61C45D7E"/>
    <w:rsid w:val="626A501C"/>
    <w:rsid w:val="62A84530"/>
    <w:rsid w:val="62E262BC"/>
    <w:rsid w:val="68811724"/>
    <w:rsid w:val="69025805"/>
    <w:rsid w:val="6A6540AF"/>
    <w:rsid w:val="6A6C3A0F"/>
    <w:rsid w:val="6B715CB5"/>
    <w:rsid w:val="6BB85BA2"/>
    <w:rsid w:val="6C65446D"/>
    <w:rsid w:val="6D9143ED"/>
    <w:rsid w:val="6ED924EF"/>
    <w:rsid w:val="71AF0431"/>
    <w:rsid w:val="74543359"/>
    <w:rsid w:val="753853BA"/>
    <w:rsid w:val="792B7DEB"/>
    <w:rsid w:val="79A00E22"/>
    <w:rsid w:val="7BC960C9"/>
    <w:rsid w:val="7C326568"/>
    <w:rsid w:val="7C4C2556"/>
    <w:rsid w:val="7D384FCD"/>
    <w:rsid w:val="7E485634"/>
    <w:rsid w:val="7E547FB1"/>
    <w:rsid w:val="7ECA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8"/>
    <w:qFormat/>
    <w:uiPriority w:val="0"/>
    <w:pPr>
      <w:keepNext/>
      <w:keepLines/>
      <w:spacing w:before="260" w:after="260" w:line="416" w:lineRule="auto"/>
      <w:outlineLvl w:val="2"/>
    </w:pPr>
    <w:rPr>
      <w:b/>
      <w:bCs/>
      <w:sz w:val="32"/>
      <w:szCs w:val="32"/>
    </w:rPr>
  </w:style>
  <w:style w:type="paragraph" w:styleId="5">
    <w:name w:val="heading 4"/>
    <w:basedOn w:val="1"/>
    <w:next w:val="1"/>
    <w:link w:val="3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0"/>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2"/>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3"/>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4"/>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8"/>
    <w:qFormat/>
    <w:uiPriority w:val="0"/>
    <w:pPr>
      <w:spacing w:after="120"/>
    </w:pPr>
  </w:style>
  <w:style w:type="paragraph" w:styleId="14">
    <w:name w:val="Block Text"/>
    <w:basedOn w:val="1"/>
    <w:qFormat/>
    <w:uiPriority w:val="0"/>
    <w:pPr>
      <w:ind w:left="1440" w:leftChars="700" w:right="700" w:rightChars="70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Balloon Text"/>
    <w:basedOn w:val="1"/>
    <w:link w:val="47"/>
    <w:semiHidden/>
    <w:unhideWhenUsed/>
    <w:qFormat/>
    <w:uiPriority w:val="99"/>
    <w:rPr>
      <w:sz w:val="18"/>
      <w:szCs w:val="18"/>
    </w:rPr>
  </w:style>
  <w:style w:type="paragraph" w:styleId="18">
    <w:name w:val="footer"/>
    <w:basedOn w:val="1"/>
    <w:link w:val="46"/>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5"/>
    <w:qFormat/>
    <w:uiPriority w:val="99"/>
    <w:pPr>
      <w:tabs>
        <w:tab w:val="center" w:pos="4153"/>
        <w:tab w:val="right" w:pos="8306"/>
      </w:tabs>
      <w:adjustRightInd/>
      <w:snapToGrid w:val="0"/>
      <w:jc w:val="center"/>
    </w:pPr>
    <w:rPr>
      <w:sz w:val="18"/>
      <w:szCs w:val="18"/>
    </w:rPr>
  </w:style>
  <w:style w:type="paragraph" w:styleId="20">
    <w:name w:val="toc 1"/>
    <w:basedOn w:val="1"/>
    <w:next w:val="1"/>
    <w:unhideWhenUsed/>
    <w:qFormat/>
    <w:uiPriority w:val="39"/>
    <w:rPr>
      <w:rFonts w:ascii="宋体"/>
    </w:rPr>
  </w:style>
  <w:style w:type="paragraph" w:styleId="21">
    <w:name w:val="toc 4"/>
    <w:basedOn w:val="1"/>
    <w:next w:val="1"/>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1"/>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unhideWhenUsed/>
    <w:qFormat/>
    <w:uiPriority w:val="39"/>
    <w:pPr>
      <w:tabs>
        <w:tab w:val="right" w:leader="dot" w:pos="9344"/>
      </w:tabs>
      <w:spacing w:line="300" w:lineRule="exact"/>
      <w:ind w:left="210"/>
    </w:pPr>
    <w:rPr>
      <w:rFonts w:ascii="宋体"/>
    </w:rPr>
  </w:style>
  <w:style w:type="paragraph" w:styleId="26">
    <w:name w:val="Normal (Web)"/>
    <w:basedOn w:val="1"/>
    <w:unhideWhenUsed/>
    <w:qFormat/>
    <w:uiPriority w:val="0"/>
    <w:pPr>
      <w:spacing w:beforeAutospacing="1" w:afterAutospacing="1"/>
    </w:pPr>
    <w:rPr>
      <w:sz w:val="24"/>
      <w:szCs w:val="20"/>
    </w:rPr>
  </w:style>
  <w:style w:type="paragraph" w:styleId="27">
    <w:name w:val="Title"/>
    <w:basedOn w:val="1"/>
    <w:link w:val="50"/>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footnote reference"/>
    <w:semiHidden/>
    <w:qFormat/>
    <w:uiPriority w:val="0"/>
    <w:rPr>
      <w:rFonts w:ascii="宋体" w:hAnsi="宋体" w:eastAsia="宋体" w:cs="Times New Roman"/>
      <w:spacing w:val="0"/>
      <w:sz w:val="18"/>
      <w:vertAlign w:val="superscript"/>
    </w:rPr>
  </w:style>
  <w:style w:type="character" w:customStyle="1" w:styleId="36">
    <w:name w:val="标题 1 字符"/>
    <w:link w:val="2"/>
    <w:qFormat/>
    <w:uiPriority w:val="0"/>
    <w:rPr>
      <w:b/>
      <w:bCs/>
      <w:kern w:val="44"/>
      <w:sz w:val="44"/>
      <w:szCs w:val="44"/>
    </w:rPr>
  </w:style>
  <w:style w:type="character" w:customStyle="1" w:styleId="37">
    <w:name w:val="标题 2 字符"/>
    <w:link w:val="3"/>
    <w:qFormat/>
    <w:uiPriority w:val="0"/>
    <w:rPr>
      <w:rFonts w:ascii="Arial" w:hAnsi="Arial" w:eastAsia="黑体"/>
      <w:b/>
      <w:bCs/>
      <w:kern w:val="2"/>
      <w:sz w:val="32"/>
      <w:szCs w:val="32"/>
    </w:rPr>
  </w:style>
  <w:style w:type="character" w:customStyle="1" w:styleId="38">
    <w:name w:val="标题 3 字符"/>
    <w:link w:val="4"/>
    <w:qFormat/>
    <w:uiPriority w:val="0"/>
    <w:rPr>
      <w:b/>
      <w:bCs/>
      <w:kern w:val="2"/>
      <w:sz w:val="32"/>
      <w:szCs w:val="32"/>
    </w:rPr>
  </w:style>
  <w:style w:type="character" w:customStyle="1" w:styleId="39">
    <w:name w:val="标题 4 字符"/>
    <w:link w:val="5"/>
    <w:qFormat/>
    <w:uiPriority w:val="0"/>
    <w:rPr>
      <w:rFonts w:ascii="Arial" w:hAnsi="Arial" w:eastAsia="黑体"/>
      <w:b/>
      <w:bCs/>
      <w:kern w:val="2"/>
      <w:sz w:val="28"/>
      <w:szCs w:val="28"/>
    </w:rPr>
  </w:style>
  <w:style w:type="character" w:customStyle="1" w:styleId="40">
    <w:name w:val="标题 5 字符"/>
    <w:link w:val="6"/>
    <w:qFormat/>
    <w:uiPriority w:val="0"/>
    <w:rPr>
      <w:b/>
      <w:bCs/>
      <w:kern w:val="2"/>
      <w:sz w:val="28"/>
      <w:szCs w:val="28"/>
    </w:rPr>
  </w:style>
  <w:style w:type="character" w:customStyle="1" w:styleId="41">
    <w:name w:val="标题 6 字符"/>
    <w:link w:val="7"/>
    <w:qFormat/>
    <w:uiPriority w:val="0"/>
    <w:rPr>
      <w:rFonts w:ascii="Arial" w:hAnsi="Arial" w:eastAsia="黑体"/>
      <w:b/>
      <w:bCs/>
      <w:kern w:val="2"/>
      <w:sz w:val="24"/>
      <w:szCs w:val="24"/>
    </w:rPr>
  </w:style>
  <w:style w:type="character" w:customStyle="1" w:styleId="42">
    <w:name w:val="标题 7 字符"/>
    <w:link w:val="8"/>
    <w:qFormat/>
    <w:uiPriority w:val="0"/>
    <w:rPr>
      <w:b/>
      <w:bCs/>
      <w:kern w:val="2"/>
      <w:sz w:val="24"/>
      <w:szCs w:val="24"/>
    </w:rPr>
  </w:style>
  <w:style w:type="character" w:customStyle="1" w:styleId="43">
    <w:name w:val="标题 8 字符"/>
    <w:link w:val="9"/>
    <w:qFormat/>
    <w:uiPriority w:val="0"/>
    <w:rPr>
      <w:rFonts w:ascii="Arial" w:hAnsi="Arial" w:eastAsia="黑体"/>
      <w:kern w:val="2"/>
      <w:sz w:val="24"/>
      <w:szCs w:val="24"/>
    </w:rPr>
  </w:style>
  <w:style w:type="character" w:customStyle="1" w:styleId="44">
    <w:name w:val="标题 9 字符"/>
    <w:link w:val="10"/>
    <w:qFormat/>
    <w:uiPriority w:val="0"/>
    <w:rPr>
      <w:rFonts w:ascii="Arial" w:hAnsi="Arial" w:eastAsia="黑体"/>
      <w:kern w:val="2"/>
      <w:sz w:val="21"/>
      <w:szCs w:val="21"/>
    </w:rPr>
  </w:style>
  <w:style w:type="character" w:customStyle="1" w:styleId="45">
    <w:name w:val="页眉 字符"/>
    <w:link w:val="19"/>
    <w:qFormat/>
    <w:uiPriority w:val="99"/>
    <w:rPr>
      <w:kern w:val="2"/>
      <w:sz w:val="18"/>
      <w:szCs w:val="18"/>
    </w:rPr>
  </w:style>
  <w:style w:type="character" w:customStyle="1" w:styleId="46">
    <w:name w:val="页脚 字符"/>
    <w:link w:val="18"/>
    <w:qFormat/>
    <w:uiPriority w:val="99"/>
    <w:rPr>
      <w:rFonts w:ascii="宋体"/>
      <w:kern w:val="2"/>
      <w:sz w:val="18"/>
      <w:szCs w:val="18"/>
    </w:rPr>
  </w:style>
  <w:style w:type="character" w:customStyle="1" w:styleId="47">
    <w:name w:val="批注框文本 字符"/>
    <w:link w:val="17"/>
    <w:semiHidden/>
    <w:qFormat/>
    <w:uiPriority w:val="99"/>
    <w:rPr>
      <w:kern w:val="2"/>
      <w:sz w:val="18"/>
      <w:szCs w:val="18"/>
    </w:rPr>
  </w:style>
  <w:style w:type="paragraph" w:styleId="48">
    <w:name w:val="Quote"/>
    <w:basedOn w:val="1"/>
    <w:next w:val="1"/>
    <w:link w:val="49"/>
    <w:qFormat/>
    <w:uiPriority w:val="29"/>
    <w:rPr>
      <w:i/>
      <w:iCs/>
      <w:color w:val="000000"/>
    </w:rPr>
  </w:style>
  <w:style w:type="character" w:customStyle="1" w:styleId="49">
    <w:name w:val="引用 字符"/>
    <w:link w:val="48"/>
    <w:qFormat/>
    <w:uiPriority w:val="29"/>
    <w:rPr>
      <w:i/>
      <w:iCs/>
      <w:color w:val="000000"/>
      <w:kern w:val="2"/>
      <w:sz w:val="21"/>
      <w:szCs w:val="21"/>
    </w:rPr>
  </w:style>
  <w:style w:type="character" w:customStyle="1" w:styleId="50">
    <w:name w:val="标题 字符"/>
    <w:link w:val="27"/>
    <w:qFormat/>
    <w:uiPriority w:val="0"/>
    <w:rPr>
      <w:rFonts w:ascii="Arial" w:hAnsi="Arial" w:cs="Arial"/>
      <w:b/>
      <w:bCs/>
      <w:kern w:val="2"/>
      <w:sz w:val="32"/>
      <w:szCs w:val="32"/>
    </w:rPr>
  </w:style>
  <w:style w:type="paragraph" w:customStyle="1" w:styleId="51">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2">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3">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4">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5">
    <w:name w:val="标准书眉一"/>
    <w:qFormat/>
    <w:uiPriority w:val="0"/>
    <w:pPr>
      <w:jc w:val="both"/>
    </w:pPr>
    <w:rPr>
      <w:rFonts w:ascii="Times New Roman" w:hAnsi="Times New Roman" w:eastAsia="宋体" w:cs="Times New Roman"/>
      <w:lang w:val="en-US" w:eastAsia="zh-CN" w:bidi="ar-SA"/>
    </w:rPr>
  </w:style>
  <w:style w:type="paragraph" w:customStyle="1" w:styleId="56">
    <w:name w:val="标准文件_ICS"/>
    <w:basedOn w:val="1"/>
    <w:qFormat/>
    <w:uiPriority w:val="0"/>
    <w:pPr>
      <w:spacing w:line="0" w:lineRule="atLeast"/>
    </w:pPr>
    <w:rPr>
      <w:rFonts w:ascii="黑体" w:hAnsi="宋体" w:eastAsia="黑体"/>
    </w:rPr>
  </w:style>
  <w:style w:type="paragraph" w:customStyle="1" w:styleId="57">
    <w:name w:val="标准文件_标准正文"/>
    <w:basedOn w:val="1"/>
    <w:next w:val="58"/>
    <w:qFormat/>
    <w:uiPriority w:val="0"/>
    <w:pPr>
      <w:snapToGrid w:val="0"/>
      <w:ind w:firstLine="200" w:firstLineChars="200"/>
    </w:pPr>
    <w:rPr>
      <w:kern w:val="0"/>
    </w:rPr>
  </w:style>
  <w:style w:type="paragraph" w:customStyle="1" w:styleId="58">
    <w:name w:val="标准文件_段"/>
    <w:link w:val="186"/>
    <w:qFormat/>
    <w:uiPriority w:val="99"/>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9">
    <w:name w:val="标准文件_版本"/>
    <w:basedOn w:val="57"/>
    <w:qFormat/>
    <w:uiPriority w:val="0"/>
    <w:pPr>
      <w:adjustRightInd/>
      <w:snapToGrid/>
      <w:ind w:firstLine="0" w:firstLineChars="0"/>
    </w:pPr>
    <w:rPr>
      <w:rFonts w:ascii="宋体" w:hAnsi="宋体"/>
      <w:kern w:val="2"/>
    </w:rPr>
  </w:style>
  <w:style w:type="paragraph" w:customStyle="1" w:styleId="60">
    <w:name w:val="标准文件_标准部门"/>
    <w:basedOn w:val="1"/>
    <w:qFormat/>
    <w:uiPriority w:val="0"/>
    <w:pPr>
      <w:jc w:val="center"/>
    </w:pPr>
    <w:rPr>
      <w:rFonts w:ascii="黑体" w:eastAsia="黑体"/>
      <w:kern w:val="0"/>
      <w:sz w:val="44"/>
    </w:rPr>
  </w:style>
  <w:style w:type="paragraph" w:customStyle="1" w:styleId="61">
    <w:name w:val="标准文件_标准代替"/>
    <w:basedOn w:val="1"/>
    <w:next w:val="1"/>
    <w:qFormat/>
    <w:uiPriority w:val="0"/>
    <w:pPr>
      <w:spacing w:line="310" w:lineRule="exact"/>
      <w:jc w:val="right"/>
    </w:pPr>
    <w:rPr>
      <w:rFonts w:ascii="宋体" w:hAnsi="宋体"/>
      <w:kern w:val="0"/>
    </w:rPr>
  </w:style>
  <w:style w:type="paragraph" w:customStyle="1" w:styleId="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3">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4">
    <w:name w:val="标准文件_页眉偶数页"/>
    <w:basedOn w:val="63"/>
    <w:next w:val="1"/>
    <w:qFormat/>
    <w:uiPriority w:val="0"/>
    <w:pPr>
      <w:jc w:val="left"/>
    </w:pPr>
  </w:style>
  <w:style w:type="paragraph" w:customStyle="1" w:styleId="65">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6">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7">
    <w:name w:val="标准文件_二级条标题"/>
    <w:next w:val="58"/>
    <w:qFormat/>
    <w:uiPriority w:val="99"/>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8">
    <w:name w:val="标准文件_发布"/>
    <w:qFormat/>
    <w:uiPriority w:val="0"/>
    <w:rPr>
      <w:rFonts w:ascii="黑体" w:eastAsia="黑体"/>
      <w:spacing w:val="0"/>
      <w:w w:val="100"/>
      <w:position w:val="3"/>
      <w:sz w:val="28"/>
    </w:rPr>
  </w:style>
  <w:style w:type="paragraph" w:customStyle="1" w:styleId="69">
    <w:name w:val="标准文件_方框数字列项"/>
    <w:basedOn w:val="58"/>
    <w:qFormat/>
    <w:uiPriority w:val="0"/>
    <w:pPr>
      <w:numPr>
        <w:ilvl w:val="0"/>
        <w:numId w:val="3"/>
      </w:numPr>
      <w:ind w:firstLine="0" w:firstLineChars="0"/>
    </w:pPr>
  </w:style>
  <w:style w:type="paragraph" w:customStyle="1" w:styleId="70">
    <w:name w:val="标准文件_封面标准编号"/>
    <w:basedOn w:val="1"/>
    <w:next w:val="61"/>
    <w:qFormat/>
    <w:uiPriority w:val="0"/>
    <w:pPr>
      <w:spacing w:line="310" w:lineRule="exact"/>
      <w:jc w:val="right"/>
    </w:pPr>
    <w:rPr>
      <w:rFonts w:ascii="黑体" w:eastAsia="黑体"/>
      <w:kern w:val="0"/>
      <w:sz w:val="28"/>
    </w:rPr>
  </w:style>
  <w:style w:type="paragraph" w:customStyle="1" w:styleId="71">
    <w:name w:val="标准文件_封面标准分类号"/>
    <w:basedOn w:val="1"/>
    <w:qFormat/>
    <w:uiPriority w:val="0"/>
    <w:rPr>
      <w:rFonts w:ascii="黑体" w:eastAsia="黑体"/>
      <w:b/>
      <w:kern w:val="0"/>
      <w:sz w:val="28"/>
    </w:rPr>
  </w:style>
  <w:style w:type="paragraph" w:customStyle="1" w:styleId="72">
    <w:name w:val="标准文件_封面标准名称"/>
    <w:basedOn w:val="1"/>
    <w:qFormat/>
    <w:uiPriority w:val="0"/>
    <w:pPr>
      <w:spacing w:line="240" w:lineRule="auto"/>
      <w:jc w:val="center"/>
    </w:pPr>
    <w:rPr>
      <w:rFonts w:ascii="黑体" w:eastAsia="黑体"/>
      <w:kern w:val="0"/>
      <w:sz w:val="52"/>
    </w:rPr>
  </w:style>
  <w:style w:type="paragraph" w:customStyle="1" w:styleId="73">
    <w:name w:val="标准文件_封面标准英文名称"/>
    <w:basedOn w:val="1"/>
    <w:qFormat/>
    <w:uiPriority w:val="0"/>
    <w:pPr>
      <w:spacing w:line="240" w:lineRule="auto"/>
      <w:jc w:val="center"/>
    </w:pPr>
    <w:rPr>
      <w:rFonts w:ascii="黑体" w:eastAsia="黑体"/>
      <w:b/>
      <w:sz w:val="28"/>
    </w:rPr>
  </w:style>
  <w:style w:type="paragraph" w:customStyle="1" w:styleId="74">
    <w:name w:val="标准文件_封面发布日期"/>
    <w:basedOn w:val="1"/>
    <w:qFormat/>
    <w:uiPriority w:val="0"/>
    <w:pPr>
      <w:spacing w:line="310" w:lineRule="exact"/>
    </w:pPr>
    <w:rPr>
      <w:rFonts w:ascii="黑体" w:eastAsia="黑体"/>
      <w:kern w:val="0"/>
      <w:sz w:val="28"/>
    </w:rPr>
  </w:style>
  <w:style w:type="paragraph" w:customStyle="1" w:styleId="75">
    <w:name w:val="标准文件_封面密级"/>
    <w:basedOn w:val="1"/>
    <w:qFormat/>
    <w:uiPriority w:val="0"/>
    <w:rPr>
      <w:rFonts w:eastAsia="黑体"/>
      <w:sz w:val="32"/>
    </w:rPr>
  </w:style>
  <w:style w:type="paragraph" w:customStyle="1" w:styleId="76">
    <w:name w:val="标准文件_封面实施日期"/>
    <w:basedOn w:val="1"/>
    <w:qFormat/>
    <w:uiPriority w:val="0"/>
    <w:pPr>
      <w:spacing w:line="310" w:lineRule="exact"/>
      <w:jc w:val="right"/>
    </w:pPr>
    <w:rPr>
      <w:rFonts w:ascii="黑体" w:eastAsia="黑体"/>
      <w:sz w:val="28"/>
    </w:rPr>
  </w:style>
  <w:style w:type="paragraph" w:customStyle="1" w:styleId="77">
    <w:name w:val="标准文件_封面抬头"/>
    <w:basedOn w:val="58"/>
    <w:qFormat/>
    <w:uiPriority w:val="0"/>
    <w:pPr>
      <w:adjustRightInd w:val="0"/>
      <w:spacing w:line="800" w:lineRule="exact"/>
      <w:ind w:firstLine="0" w:firstLineChars="0"/>
      <w:jc w:val="distribute"/>
    </w:pPr>
    <w:rPr>
      <w:rFonts w:ascii="黑体" w:eastAsia="黑体"/>
      <w:b/>
      <w:sz w:val="64"/>
    </w:rPr>
  </w:style>
  <w:style w:type="paragraph" w:customStyle="1" w:styleId="78">
    <w:name w:val="标准文件_附录标识"/>
    <w:next w:val="58"/>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9">
    <w:name w:val="标准文件_附录表标题"/>
    <w:next w:val="58"/>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0">
    <w:name w:val="标准文件_附录一级条标题"/>
    <w:next w:val="58"/>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1">
    <w:name w:val="标准文件_附录二级条标题"/>
    <w:basedOn w:val="80"/>
    <w:next w:val="58"/>
    <w:qFormat/>
    <w:uiPriority w:val="0"/>
    <w:pPr>
      <w:widowControl/>
      <w:numPr>
        <w:ilvl w:val="2"/>
      </w:numPr>
      <w:wordWrap w:val="0"/>
      <w:overflowPunct w:val="0"/>
      <w:autoSpaceDE w:val="0"/>
      <w:autoSpaceDN w:val="0"/>
      <w:textAlignment w:val="baseline"/>
      <w:outlineLvl w:val="3"/>
    </w:pPr>
  </w:style>
  <w:style w:type="paragraph" w:customStyle="1" w:styleId="82">
    <w:name w:val="标准文件_附录公式"/>
    <w:basedOn w:val="57"/>
    <w:next w:val="57"/>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3">
    <w:name w:val="标准文件_附录三级条标题"/>
    <w:next w:val="58"/>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4">
    <w:name w:val="标准文件_附录四级条标题"/>
    <w:next w:val="58"/>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5">
    <w:name w:val="标准文件_附录图标题"/>
    <w:next w:val="58"/>
    <w:qFormat/>
    <w:uiPriority w:val="99"/>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6">
    <w:name w:val="标准文件_附录五级条标题"/>
    <w:next w:val="58"/>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7">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8">
    <w:name w:val="正文文本 字符"/>
    <w:link w:val="13"/>
    <w:qFormat/>
    <w:uiPriority w:val="0"/>
    <w:rPr>
      <w:kern w:val="2"/>
      <w:sz w:val="21"/>
      <w:szCs w:val="21"/>
    </w:rPr>
  </w:style>
  <w:style w:type="paragraph" w:customStyle="1" w:styleId="89">
    <w:name w:val="标准文件_附录章标题"/>
    <w:next w:val="58"/>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0">
    <w:name w:val="标准文件_公式后的破折号"/>
    <w:basedOn w:val="58"/>
    <w:next w:val="58"/>
    <w:qFormat/>
    <w:uiPriority w:val="0"/>
    <w:pPr>
      <w:ind w:left="488" w:leftChars="200" w:hanging="289" w:hangingChars="290"/>
    </w:pPr>
  </w:style>
  <w:style w:type="paragraph" w:customStyle="1" w:styleId="91">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2">
    <w:name w:val="标准文件_目次、标准名称标题"/>
    <w:basedOn w:val="91"/>
    <w:next w:val="58"/>
    <w:qFormat/>
    <w:uiPriority w:val="0"/>
    <w:pPr>
      <w:spacing w:line="460" w:lineRule="exact"/>
      <w:ind w:left="0" w:firstLine="0"/>
    </w:pPr>
  </w:style>
  <w:style w:type="paragraph" w:customStyle="1" w:styleId="93">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4">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5">
    <w:name w:val="标准文件_破折号列项（二级）"/>
    <w:basedOn w:val="94"/>
    <w:qFormat/>
    <w:uiPriority w:val="0"/>
    <w:pPr>
      <w:numPr>
        <w:numId w:val="10"/>
      </w:numPr>
    </w:pPr>
  </w:style>
  <w:style w:type="paragraph" w:customStyle="1" w:styleId="96">
    <w:name w:val="标准文件_三级条标题"/>
    <w:basedOn w:val="67"/>
    <w:next w:val="58"/>
    <w:qFormat/>
    <w:uiPriority w:val="99"/>
    <w:pPr>
      <w:widowControl/>
      <w:numPr>
        <w:ilvl w:val="4"/>
      </w:numPr>
      <w:outlineLvl w:val="3"/>
    </w:pPr>
  </w:style>
  <w:style w:type="character" w:customStyle="1" w:styleId="97">
    <w:name w:val="不明显参考1"/>
    <w:qFormat/>
    <w:uiPriority w:val="31"/>
    <w:rPr>
      <w:smallCaps/>
      <w:color w:val="C0504D"/>
      <w:u w:val="single"/>
    </w:rPr>
  </w:style>
  <w:style w:type="paragraph" w:customStyle="1" w:styleId="98">
    <w:name w:val="标准文件_示例后续"/>
    <w:basedOn w:val="1"/>
    <w:qFormat/>
    <w:uiPriority w:val="0"/>
    <w:pPr>
      <w:adjustRightInd/>
      <w:spacing w:line="240" w:lineRule="auto"/>
      <w:ind w:firstLine="200" w:firstLineChars="200"/>
    </w:pPr>
    <w:rPr>
      <w:sz w:val="18"/>
      <w:szCs w:val="24"/>
    </w:rPr>
  </w:style>
  <w:style w:type="paragraph" w:customStyle="1" w:styleId="99">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0">
    <w:name w:val="标准文件_四级条标题"/>
    <w:next w:val="58"/>
    <w:qFormat/>
    <w:uiPriority w:val="99"/>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1">
    <w:name w:val="脚注文本 字符"/>
    <w:link w:val="22"/>
    <w:semiHidden/>
    <w:qFormat/>
    <w:uiPriority w:val="0"/>
    <w:rPr>
      <w:rFonts w:ascii="宋体"/>
      <w:kern w:val="2"/>
      <w:sz w:val="18"/>
      <w:szCs w:val="18"/>
    </w:rPr>
  </w:style>
  <w:style w:type="paragraph" w:customStyle="1" w:styleId="102">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3">
    <w:name w:val="标准文件_图表脚注"/>
    <w:basedOn w:val="1"/>
    <w:next w:val="58"/>
    <w:qFormat/>
    <w:uiPriority w:val="0"/>
    <w:pPr>
      <w:numPr>
        <w:ilvl w:val="0"/>
        <w:numId w:val="12"/>
      </w:numPr>
      <w:spacing w:line="240" w:lineRule="auto"/>
      <w:jc w:val="left"/>
    </w:pPr>
    <w:rPr>
      <w:rFonts w:ascii="宋体" w:hAnsi="宋体"/>
      <w:sz w:val="18"/>
    </w:rPr>
  </w:style>
  <w:style w:type="character" w:customStyle="1" w:styleId="104">
    <w:name w:val="标准文件_图表脚注内容"/>
    <w:qFormat/>
    <w:uiPriority w:val="0"/>
    <w:rPr>
      <w:rFonts w:ascii="宋体" w:hAnsi="宋体" w:eastAsia="宋体" w:cs="Times New Roman"/>
      <w:spacing w:val="0"/>
      <w:sz w:val="18"/>
      <w:vertAlign w:val="superscript"/>
    </w:rPr>
  </w:style>
  <w:style w:type="paragraph" w:customStyle="1" w:styleId="105">
    <w:name w:val="标准文件_五级条标题"/>
    <w:next w:val="58"/>
    <w:qFormat/>
    <w:uiPriority w:val="99"/>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6">
    <w:name w:val="标准文件_章标题"/>
    <w:next w:val="58"/>
    <w:qFormat/>
    <w:uiPriority w:val="99"/>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7">
    <w:name w:val="标准文件_一级条标题"/>
    <w:basedOn w:val="106"/>
    <w:next w:val="58"/>
    <w:qFormat/>
    <w:uiPriority w:val="99"/>
    <w:pPr>
      <w:numPr>
        <w:ilvl w:val="2"/>
      </w:numPr>
      <w:spacing w:before="50" w:beforeLines="50" w:after="50" w:afterLines="50"/>
      <w:outlineLvl w:val="1"/>
    </w:pPr>
  </w:style>
  <w:style w:type="paragraph" w:customStyle="1" w:styleId="108">
    <w:name w:val="标准文件_一致程度"/>
    <w:basedOn w:val="1"/>
    <w:qFormat/>
    <w:uiPriority w:val="0"/>
    <w:pPr>
      <w:spacing w:line="440" w:lineRule="exact"/>
      <w:jc w:val="center"/>
    </w:pPr>
    <w:rPr>
      <w:sz w:val="28"/>
    </w:rPr>
  </w:style>
  <w:style w:type="paragraph" w:customStyle="1" w:styleId="109">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0">
    <w:name w:val="标准文件_英文图表脚注"/>
    <w:basedOn w:val="57"/>
    <w:qFormat/>
    <w:uiPriority w:val="0"/>
    <w:pPr>
      <w:widowControl/>
      <w:adjustRightInd/>
      <w:snapToGrid/>
      <w:spacing w:line="240" w:lineRule="auto"/>
      <w:ind w:left="79" w:hanging="79" w:hangingChars="80"/>
    </w:pPr>
    <w:rPr>
      <w:rFonts w:ascii="宋体" w:hAnsi="宋体"/>
    </w:rPr>
  </w:style>
  <w:style w:type="paragraph" w:customStyle="1" w:styleId="111">
    <w:name w:val="标准文件_数字编号列项（二级）"/>
    <w:qFormat/>
    <w:uiPriority w:val="99"/>
    <w:pPr>
      <w:numPr>
        <w:ilvl w:val="1"/>
        <w:numId w:val="13"/>
      </w:numPr>
      <w:jc w:val="both"/>
    </w:pPr>
    <w:rPr>
      <w:rFonts w:ascii="宋体" w:hAnsi="Times New Roman" w:eastAsia="宋体" w:cs="Times New Roman"/>
      <w:sz w:val="21"/>
      <w:lang w:val="en-US" w:eastAsia="zh-CN" w:bidi="ar-SA"/>
    </w:rPr>
  </w:style>
  <w:style w:type="paragraph" w:customStyle="1" w:styleId="112">
    <w:name w:val="标准文件_英文注："/>
    <w:basedOn w:val="1"/>
    <w:next w:val="58"/>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3">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4">
    <w:name w:val="标准文件_正文表标题"/>
    <w:next w:val="58"/>
    <w:qFormat/>
    <w:uiPriority w:val="99"/>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公式"/>
    <w:basedOn w:val="1"/>
    <w:next w:val="57"/>
    <w:qFormat/>
    <w:uiPriority w:val="0"/>
    <w:pPr>
      <w:tabs>
        <w:tab w:val="center" w:pos="4678"/>
        <w:tab w:val="right" w:leader="middleDot" w:pos="9356"/>
      </w:tabs>
      <w:spacing w:line="240" w:lineRule="auto"/>
    </w:pPr>
    <w:rPr>
      <w:rFonts w:ascii="宋体" w:hAnsi="宋体"/>
    </w:rPr>
  </w:style>
  <w:style w:type="paragraph" w:customStyle="1" w:styleId="116">
    <w:name w:val="标准文件_正文图标题"/>
    <w:next w:val="58"/>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英文表标题"/>
    <w:next w:val="58"/>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8">
    <w:name w:val="标准文件_正文英文图标题"/>
    <w:next w:val="58"/>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9">
    <w:name w:val="标准文件_编号列项（三级）"/>
    <w:qFormat/>
    <w:uiPriority w:val="99"/>
    <w:pPr>
      <w:numPr>
        <w:ilvl w:val="2"/>
        <w:numId w:val="13"/>
      </w:numPr>
    </w:pPr>
    <w:rPr>
      <w:rFonts w:ascii="宋体" w:hAnsi="Times New Roman" w:eastAsia="宋体" w:cs="Times New Roman"/>
      <w:sz w:val="21"/>
      <w:lang w:val="en-US" w:eastAsia="zh-CN" w:bidi="ar-SA"/>
    </w:rPr>
  </w:style>
  <w:style w:type="paragraph" w:customStyle="1" w:styleId="120">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1">
    <w:name w:val="发布部门"/>
    <w:next w:val="58"/>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2">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3">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4">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6">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7">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8">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9">
    <w:name w:val="封面正文"/>
    <w:qFormat/>
    <w:uiPriority w:val="0"/>
    <w:pPr>
      <w:jc w:val="both"/>
    </w:pPr>
    <w:rPr>
      <w:rFonts w:ascii="Times New Roman" w:hAnsi="Times New Roman" w:eastAsia="宋体" w:cs="Times New Roman"/>
      <w:lang w:val="en-US" w:eastAsia="zh-CN" w:bidi="ar-SA"/>
    </w:rPr>
  </w:style>
  <w:style w:type="paragraph" w:customStyle="1" w:styleId="130">
    <w:name w:val="附录二级无标题条"/>
    <w:basedOn w:val="1"/>
    <w:next w:val="58"/>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1">
    <w:name w:val="附录三级无标题条"/>
    <w:basedOn w:val="130"/>
    <w:next w:val="58"/>
    <w:qFormat/>
    <w:uiPriority w:val="0"/>
    <w:pPr>
      <w:outlineLvl w:val="4"/>
    </w:pPr>
  </w:style>
  <w:style w:type="paragraph" w:customStyle="1" w:styleId="132">
    <w:name w:val="附录四级无标题条"/>
    <w:basedOn w:val="131"/>
    <w:next w:val="58"/>
    <w:qFormat/>
    <w:uiPriority w:val="0"/>
    <w:pPr>
      <w:outlineLvl w:val="5"/>
    </w:pPr>
  </w:style>
  <w:style w:type="paragraph" w:customStyle="1" w:styleId="133">
    <w:name w:val="附录图"/>
    <w:next w:val="58"/>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4">
    <w:name w:val="标准文件_一级项"/>
    <w:qFormat/>
    <w:uiPriority w:val="99"/>
    <w:pPr>
      <w:numPr>
        <w:ilvl w:val="0"/>
        <w:numId w:val="21"/>
      </w:numPr>
    </w:pPr>
    <w:rPr>
      <w:rFonts w:ascii="宋体" w:hAnsi="Times New Roman" w:eastAsia="宋体" w:cs="Times New Roman"/>
      <w:sz w:val="21"/>
      <w:lang w:val="en-US" w:eastAsia="zh-CN" w:bidi="ar-SA"/>
    </w:rPr>
  </w:style>
  <w:style w:type="paragraph" w:customStyle="1" w:styleId="135">
    <w:name w:val="附录五级无标题条"/>
    <w:basedOn w:val="132"/>
    <w:next w:val="58"/>
    <w:qFormat/>
    <w:uiPriority w:val="0"/>
    <w:pPr>
      <w:outlineLvl w:val="6"/>
    </w:pPr>
  </w:style>
  <w:style w:type="paragraph" w:customStyle="1" w:styleId="136">
    <w:name w:val="附录性质"/>
    <w:basedOn w:val="1"/>
    <w:qFormat/>
    <w:uiPriority w:val="0"/>
    <w:pPr>
      <w:widowControl/>
      <w:adjustRightInd/>
      <w:jc w:val="center"/>
    </w:pPr>
    <w:rPr>
      <w:rFonts w:ascii="黑体" w:eastAsia="黑体"/>
    </w:rPr>
  </w:style>
  <w:style w:type="paragraph" w:customStyle="1" w:styleId="137">
    <w:name w:val="附录一级无标题条"/>
    <w:basedOn w:val="89"/>
    <w:next w:val="58"/>
    <w:qFormat/>
    <w:uiPriority w:val="0"/>
    <w:pPr>
      <w:autoSpaceDN w:val="0"/>
      <w:outlineLvl w:val="2"/>
    </w:pPr>
    <w:rPr>
      <w:rFonts w:ascii="宋体" w:hAnsi="宋体" w:eastAsia="宋体"/>
    </w:rPr>
  </w:style>
  <w:style w:type="character" w:customStyle="1" w:styleId="138">
    <w:name w:val="个人答复风格"/>
    <w:qFormat/>
    <w:uiPriority w:val="0"/>
    <w:rPr>
      <w:rFonts w:ascii="Arial" w:hAnsi="Arial" w:eastAsia="宋体" w:cs="Arial"/>
      <w:color w:val="auto"/>
      <w:spacing w:val="0"/>
      <w:sz w:val="20"/>
    </w:rPr>
  </w:style>
  <w:style w:type="character" w:customStyle="1" w:styleId="139">
    <w:name w:val="个人撰写风格"/>
    <w:qFormat/>
    <w:uiPriority w:val="0"/>
    <w:rPr>
      <w:rFonts w:ascii="Arial" w:hAnsi="Arial" w:eastAsia="宋体" w:cs="Arial"/>
      <w:color w:val="auto"/>
      <w:spacing w:val="0"/>
      <w:sz w:val="20"/>
    </w:rPr>
  </w:style>
  <w:style w:type="paragraph" w:customStyle="1" w:styleId="140">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1">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2">
    <w:name w:val="列项·"/>
    <w:basedOn w:val="58"/>
    <w:qFormat/>
    <w:uiPriority w:val="0"/>
    <w:pPr>
      <w:tabs>
        <w:tab w:val="left" w:pos="840"/>
      </w:tabs>
    </w:pPr>
  </w:style>
  <w:style w:type="paragraph" w:customStyle="1" w:styleId="14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4">
    <w:name w:val="目录 21"/>
    <w:basedOn w:val="1"/>
    <w:next w:val="1"/>
    <w:semiHidden/>
    <w:qFormat/>
    <w:uiPriority w:val="0"/>
    <w:pPr>
      <w:adjustRightInd/>
      <w:spacing w:line="240" w:lineRule="auto"/>
      <w:jc w:val="left"/>
    </w:pPr>
    <w:rPr>
      <w:bCs/>
      <w:iCs/>
    </w:rPr>
  </w:style>
  <w:style w:type="paragraph" w:customStyle="1" w:styleId="145">
    <w:name w:val="目录 31"/>
    <w:basedOn w:val="1"/>
    <w:next w:val="1"/>
    <w:semiHidden/>
    <w:qFormat/>
    <w:uiPriority w:val="0"/>
    <w:pPr>
      <w:spacing w:line="240" w:lineRule="auto"/>
    </w:pPr>
    <w:rPr>
      <w:rFonts w:ascii="宋体" w:hAnsi="宋体"/>
      <w:iCs/>
    </w:rPr>
  </w:style>
  <w:style w:type="paragraph" w:customStyle="1" w:styleId="146">
    <w:name w:val="目录 41"/>
    <w:basedOn w:val="1"/>
    <w:next w:val="1"/>
    <w:semiHidden/>
    <w:qFormat/>
    <w:uiPriority w:val="0"/>
    <w:pPr>
      <w:adjustRightInd/>
      <w:spacing w:line="240" w:lineRule="auto"/>
      <w:jc w:val="left"/>
    </w:pPr>
  </w:style>
  <w:style w:type="paragraph" w:customStyle="1" w:styleId="147">
    <w:name w:val="目录 51"/>
    <w:basedOn w:val="1"/>
    <w:next w:val="1"/>
    <w:semiHidden/>
    <w:qFormat/>
    <w:uiPriority w:val="0"/>
    <w:pPr>
      <w:spacing w:line="240" w:lineRule="auto"/>
    </w:pPr>
    <w:rPr>
      <w:rFonts w:ascii="宋体" w:hAnsi="宋体"/>
    </w:rPr>
  </w:style>
  <w:style w:type="paragraph" w:customStyle="1" w:styleId="148">
    <w:name w:val="目录 61"/>
    <w:basedOn w:val="1"/>
    <w:next w:val="1"/>
    <w:semiHidden/>
    <w:qFormat/>
    <w:uiPriority w:val="0"/>
    <w:pPr>
      <w:adjustRightInd/>
      <w:spacing w:line="240" w:lineRule="auto"/>
      <w:jc w:val="left"/>
    </w:pPr>
  </w:style>
  <w:style w:type="paragraph" w:customStyle="1" w:styleId="149">
    <w:name w:val="目录 71"/>
    <w:basedOn w:val="148"/>
    <w:semiHidden/>
    <w:qFormat/>
    <w:uiPriority w:val="0"/>
    <w:pPr>
      <w:ind w:left="1260"/>
    </w:pPr>
  </w:style>
  <w:style w:type="paragraph" w:customStyle="1" w:styleId="150">
    <w:name w:val="目录 81"/>
    <w:basedOn w:val="149"/>
    <w:semiHidden/>
    <w:qFormat/>
    <w:uiPriority w:val="0"/>
    <w:pPr>
      <w:ind w:left="1470"/>
    </w:pPr>
  </w:style>
  <w:style w:type="paragraph" w:customStyle="1" w:styleId="151">
    <w:name w:val="目录 91"/>
    <w:basedOn w:val="150"/>
    <w:semiHidden/>
    <w:qFormat/>
    <w:uiPriority w:val="0"/>
    <w:pPr>
      <w:ind w:left="1680"/>
    </w:pPr>
  </w:style>
  <w:style w:type="paragraph" w:customStyle="1" w:styleId="15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3">
    <w:name w:val="其他发布部门"/>
    <w:basedOn w:val="121"/>
    <w:qFormat/>
    <w:uiPriority w:val="0"/>
    <w:pPr>
      <w:framePr w:wrap="around"/>
      <w:spacing w:line="0" w:lineRule="atLeast"/>
    </w:pPr>
    <w:rPr>
      <w:rFonts w:ascii="黑体" w:eastAsia="黑体"/>
      <w:b w:val="0"/>
    </w:rPr>
  </w:style>
  <w:style w:type="paragraph" w:customStyle="1" w:styleId="154">
    <w:name w:val="前言标题"/>
    <w:next w:val="1"/>
    <w:qFormat/>
    <w:uiPriority w:val="99"/>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5">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6">
    <w:name w:val="实施日期"/>
    <w:basedOn w:val="122"/>
    <w:qFormat/>
    <w:uiPriority w:val="0"/>
    <w:pPr>
      <w:framePr w:hSpace="0" w:wrap="around" w:xAlign="right"/>
      <w:jc w:val="right"/>
    </w:pPr>
  </w:style>
  <w:style w:type="paragraph" w:customStyle="1" w:styleId="157">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8">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9">
    <w:name w:val="无标题条"/>
    <w:next w:val="58"/>
    <w:qFormat/>
    <w:uiPriority w:val="0"/>
    <w:pPr>
      <w:jc w:val="both"/>
    </w:pPr>
    <w:rPr>
      <w:rFonts w:ascii="宋体" w:hAnsi="宋体" w:eastAsia="宋体" w:cs="Times New Roman"/>
      <w:sz w:val="21"/>
      <w:lang w:val="en-US" w:eastAsia="zh-CN" w:bidi="ar-SA"/>
    </w:rPr>
  </w:style>
  <w:style w:type="paragraph" w:customStyle="1" w:styleId="160">
    <w:name w:val="五级无标题条"/>
    <w:basedOn w:val="1"/>
    <w:qFormat/>
    <w:uiPriority w:val="0"/>
    <w:pPr>
      <w:numPr>
        <w:ilvl w:val="6"/>
        <w:numId w:val="20"/>
      </w:numPr>
      <w:adjustRightInd/>
    </w:pPr>
    <w:rPr>
      <w:szCs w:val="24"/>
    </w:rPr>
  </w:style>
  <w:style w:type="paragraph" w:customStyle="1" w:styleId="161">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2">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3">
    <w:name w:val="注×:后续"/>
    <w:basedOn w:val="162"/>
    <w:qFormat/>
    <w:uiPriority w:val="0"/>
    <w:pPr>
      <w:ind w:left="1406" w:leftChars="0" w:hanging="499" w:firstLineChars="0"/>
    </w:pPr>
  </w:style>
  <w:style w:type="paragraph" w:customStyle="1" w:styleId="164">
    <w:name w:val="标准文件_一级无标题"/>
    <w:basedOn w:val="107"/>
    <w:qFormat/>
    <w:uiPriority w:val="0"/>
    <w:pPr>
      <w:spacing w:before="0" w:beforeLines="0" w:after="0" w:afterLines="0"/>
      <w:outlineLvl w:val="9"/>
    </w:pPr>
    <w:rPr>
      <w:rFonts w:ascii="宋体" w:eastAsia="宋体"/>
    </w:rPr>
  </w:style>
  <w:style w:type="paragraph" w:customStyle="1" w:styleId="165">
    <w:name w:val="标准文件_五级无标题"/>
    <w:basedOn w:val="105"/>
    <w:qFormat/>
    <w:uiPriority w:val="0"/>
    <w:pPr>
      <w:spacing w:before="0" w:beforeLines="0" w:after="0" w:afterLines="0"/>
      <w:outlineLvl w:val="9"/>
    </w:pPr>
    <w:rPr>
      <w:rFonts w:ascii="宋体" w:eastAsia="宋体"/>
    </w:rPr>
  </w:style>
  <w:style w:type="paragraph" w:customStyle="1" w:styleId="166">
    <w:name w:val="标准文件_三级无标题"/>
    <w:basedOn w:val="96"/>
    <w:qFormat/>
    <w:uiPriority w:val="0"/>
    <w:pPr>
      <w:spacing w:before="0" w:beforeLines="0" w:after="0" w:afterLines="0"/>
      <w:outlineLvl w:val="9"/>
    </w:pPr>
    <w:rPr>
      <w:rFonts w:ascii="宋体" w:eastAsia="宋体"/>
    </w:rPr>
  </w:style>
  <w:style w:type="paragraph" w:customStyle="1" w:styleId="167">
    <w:name w:val="标准文件_二级无标题"/>
    <w:basedOn w:val="67"/>
    <w:qFormat/>
    <w:uiPriority w:val="99"/>
    <w:pPr>
      <w:spacing w:before="0" w:beforeLines="0" w:after="0" w:afterLines="0"/>
      <w:outlineLvl w:val="9"/>
    </w:pPr>
    <w:rPr>
      <w:rFonts w:ascii="宋体" w:eastAsia="宋体"/>
    </w:rPr>
  </w:style>
  <w:style w:type="paragraph" w:customStyle="1" w:styleId="168">
    <w:name w:val="标准_四级无标题"/>
    <w:basedOn w:val="100"/>
    <w:next w:val="58"/>
    <w:qFormat/>
    <w:uiPriority w:val="0"/>
    <w:rPr>
      <w:rFonts w:eastAsia="宋体"/>
    </w:rPr>
  </w:style>
  <w:style w:type="paragraph" w:customStyle="1" w:styleId="169">
    <w:name w:val="标准文件_四级无标题"/>
    <w:basedOn w:val="100"/>
    <w:qFormat/>
    <w:uiPriority w:val="0"/>
    <w:pPr>
      <w:spacing w:before="0" w:beforeLines="0" w:after="0" w:afterLines="0"/>
      <w:outlineLvl w:val="9"/>
    </w:pPr>
    <w:rPr>
      <w:rFonts w:ascii="宋体" w:hAnsi="黑体" w:eastAsia="宋体"/>
      <w:szCs w:val="52"/>
    </w:rPr>
  </w:style>
  <w:style w:type="paragraph" w:customStyle="1" w:styleId="170">
    <w:name w:val="标准文件_大写罗马数字编号列项"/>
    <w:basedOn w:val="58"/>
    <w:qFormat/>
    <w:uiPriority w:val="0"/>
    <w:pPr>
      <w:numPr>
        <w:ilvl w:val="0"/>
        <w:numId w:val="23"/>
      </w:numPr>
      <w:ind w:firstLine="0" w:firstLineChars="0"/>
    </w:pPr>
    <w:rPr>
      <w:rFonts w:ascii="Times New Roman" w:cs="Arial"/>
      <w:szCs w:val="28"/>
    </w:rPr>
  </w:style>
  <w:style w:type="paragraph" w:customStyle="1" w:styleId="171">
    <w:name w:val="标准文件_小写罗马数字编号列项"/>
    <w:basedOn w:val="58"/>
    <w:qFormat/>
    <w:uiPriority w:val="0"/>
    <w:pPr>
      <w:numPr>
        <w:ilvl w:val="0"/>
        <w:numId w:val="24"/>
      </w:numPr>
      <w:ind w:firstLine="0" w:firstLineChars="0"/>
    </w:pPr>
    <w:rPr>
      <w:rFonts w:cs="Arial"/>
      <w:szCs w:val="28"/>
    </w:rPr>
  </w:style>
  <w:style w:type="paragraph" w:customStyle="1" w:styleId="172">
    <w:name w:val="标准文件_附录标题"/>
    <w:basedOn w:val="78"/>
    <w:qFormat/>
    <w:uiPriority w:val="0"/>
    <w:pPr>
      <w:numPr>
        <w:numId w:val="0"/>
      </w:numPr>
      <w:spacing w:after="280"/>
      <w:outlineLvl w:val="9"/>
    </w:pPr>
  </w:style>
  <w:style w:type="paragraph" w:customStyle="1" w:styleId="173">
    <w:name w:val="标准文件_二级项"/>
    <w:qFormat/>
    <w:uiPriority w:val="0"/>
    <w:rPr>
      <w:rFonts w:ascii="宋体" w:hAnsi="Times New Roman" w:eastAsia="宋体" w:cs="Times New Roman"/>
      <w:sz w:val="21"/>
      <w:lang w:val="en-US" w:eastAsia="zh-CN" w:bidi="ar-SA"/>
    </w:rPr>
  </w:style>
  <w:style w:type="paragraph" w:customStyle="1" w:styleId="174">
    <w:name w:val="标准文件_三级项"/>
    <w:basedOn w:val="1"/>
    <w:qFormat/>
    <w:uiPriority w:val="99"/>
    <w:pPr>
      <w:numPr>
        <w:ilvl w:val="2"/>
        <w:numId w:val="21"/>
      </w:numPr>
      <w:spacing w:line="536870612" w:lineRule="auto"/>
    </w:pPr>
    <w:rPr>
      <w:rFonts w:ascii="Times New Roman" w:hAnsi="Times New Roman"/>
    </w:rPr>
  </w:style>
  <w:style w:type="paragraph" w:customStyle="1" w:styleId="175">
    <w:name w:val="图表脚注说明"/>
    <w:basedOn w:val="1"/>
    <w:next w:val="58"/>
    <w:qFormat/>
    <w:uiPriority w:val="0"/>
    <w:pPr>
      <w:numPr>
        <w:ilvl w:val="0"/>
        <w:numId w:val="25"/>
      </w:numPr>
      <w:adjustRightInd/>
      <w:spacing w:line="240" w:lineRule="auto"/>
    </w:pPr>
    <w:rPr>
      <w:rFonts w:ascii="宋体" w:hAnsi="Times New Roman"/>
      <w:sz w:val="18"/>
      <w:szCs w:val="18"/>
    </w:rPr>
  </w:style>
  <w:style w:type="paragraph" w:customStyle="1" w:styleId="176">
    <w:name w:val="标准文件_字母编号列项（一级）"/>
    <w:qFormat/>
    <w:uiPriority w:val="99"/>
    <w:pPr>
      <w:numPr>
        <w:ilvl w:val="0"/>
        <w:numId w:val="13"/>
      </w:numPr>
      <w:jc w:val="both"/>
    </w:pPr>
    <w:rPr>
      <w:rFonts w:ascii="宋体" w:hAnsi="Times New Roman" w:eastAsia="宋体" w:cs="Times New Roman"/>
      <w:sz w:val="21"/>
      <w:lang w:val="en-US" w:eastAsia="zh-CN" w:bidi="ar-SA"/>
    </w:rPr>
  </w:style>
  <w:style w:type="paragraph" w:customStyle="1" w:styleId="177">
    <w:name w:val="标准文件_索引字母"/>
    <w:next w:val="58"/>
    <w:qFormat/>
    <w:uiPriority w:val="0"/>
    <w:pPr>
      <w:jc w:val="center"/>
    </w:pPr>
    <w:rPr>
      <w:rFonts w:ascii="宋体" w:hAnsi="宋体" w:eastAsia="Times New Roman" w:cs="Times New Roman"/>
      <w:b/>
      <w:kern w:val="2"/>
      <w:sz w:val="21"/>
      <w:lang w:val="en-US" w:eastAsia="zh-CN" w:bidi="ar-SA"/>
    </w:rPr>
  </w:style>
  <w:style w:type="paragraph" w:customStyle="1" w:styleId="178">
    <w:name w:val="标准文件_附录前"/>
    <w:next w:val="58"/>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9">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0">
    <w:name w:val="标准文件_表格"/>
    <w:basedOn w:val="58"/>
    <w:qFormat/>
    <w:uiPriority w:val="0"/>
    <w:pPr>
      <w:ind w:firstLine="0" w:firstLineChars="0"/>
      <w:jc w:val="center"/>
    </w:pPr>
    <w:rPr>
      <w:sz w:val="18"/>
    </w:rPr>
  </w:style>
  <w:style w:type="paragraph" w:customStyle="1" w:styleId="181">
    <w:name w:val="标准文件_注："/>
    <w:next w:val="58"/>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示例："/>
    <w:next w:val="184"/>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4">
    <w:name w:val="标准文件_示例内容"/>
    <w:basedOn w:val="58"/>
    <w:qFormat/>
    <w:uiPriority w:val="0"/>
    <w:pPr>
      <w:ind w:firstLine="420"/>
    </w:pPr>
    <w:rPr>
      <w:sz w:val="18"/>
    </w:rPr>
  </w:style>
  <w:style w:type="paragraph" w:customStyle="1" w:styleId="185">
    <w:name w:val="标准文件_示例×："/>
    <w:basedOn w:val="1"/>
    <w:next w:val="184"/>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6">
    <w:name w:val="标准文件_段 Char"/>
    <w:link w:val="58"/>
    <w:qFormat/>
    <w:uiPriority w:val="99"/>
    <w:rPr>
      <w:rFonts w:ascii="宋体" w:hAnsi="Times New Roman"/>
      <w:sz w:val="21"/>
    </w:rPr>
  </w:style>
  <w:style w:type="paragraph" w:customStyle="1" w:styleId="187">
    <w:name w:val="标准文件_表格续"/>
    <w:basedOn w:val="58"/>
    <w:next w:val="58"/>
    <w:qFormat/>
    <w:uiPriority w:val="0"/>
    <w:pPr>
      <w:jc w:val="center"/>
    </w:pPr>
    <w:rPr>
      <w:rFonts w:ascii="黑体" w:hAnsi="黑体" w:eastAsia="黑体"/>
    </w:rPr>
  </w:style>
  <w:style w:type="character" w:styleId="188">
    <w:name w:val="Placeholder Text"/>
    <w:basedOn w:val="30"/>
    <w:semiHidden/>
    <w:qFormat/>
    <w:uiPriority w:val="99"/>
    <w:rPr>
      <w:color w:val="808080"/>
    </w:rPr>
  </w:style>
  <w:style w:type="paragraph" w:customStyle="1" w:styleId="189">
    <w:name w:val="标准文件_二级项2"/>
    <w:basedOn w:val="58"/>
    <w:qFormat/>
    <w:uiPriority w:val="99"/>
    <w:pPr>
      <w:numPr>
        <w:ilvl w:val="1"/>
        <w:numId w:val="21"/>
      </w:numPr>
      <w:ind w:firstLine="0" w:firstLineChars="0"/>
    </w:pPr>
  </w:style>
  <w:style w:type="paragraph" w:customStyle="1" w:styleId="190">
    <w:name w:val="标准文件_三级项2"/>
    <w:basedOn w:val="58"/>
    <w:qFormat/>
    <w:uiPriority w:val="0"/>
    <w:pPr>
      <w:numPr>
        <w:ilvl w:val="0"/>
        <w:numId w:val="30"/>
      </w:numPr>
      <w:spacing w:line="300" w:lineRule="exact"/>
      <w:ind w:firstLineChars="0"/>
    </w:pPr>
    <w:rPr>
      <w:rFonts w:ascii="Times New Roman"/>
    </w:rPr>
  </w:style>
  <w:style w:type="paragraph" w:customStyle="1" w:styleId="191">
    <w:name w:val="标准文件_一级项2"/>
    <w:basedOn w:val="58"/>
    <w:qFormat/>
    <w:uiPriority w:val="0"/>
    <w:pPr>
      <w:numPr>
        <w:ilvl w:val="0"/>
        <w:numId w:val="31"/>
      </w:numPr>
      <w:spacing w:line="300" w:lineRule="exact"/>
      <w:ind w:firstLineChars="0"/>
    </w:pPr>
    <w:rPr>
      <w:rFonts w:ascii="Times New Roman"/>
    </w:rPr>
  </w:style>
  <w:style w:type="paragraph" w:customStyle="1" w:styleId="192">
    <w:name w:val="标准文件_提示"/>
    <w:basedOn w:val="58"/>
    <w:next w:val="58"/>
    <w:qFormat/>
    <w:uiPriority w:val="0"/>
    <w:pPr>
      <w:ind w:firstLine="420"/>
    </w:pPr>
    <w:rPr>
      <w:rFonts w:ascii="黑体" w:eastAsia="黑体"/>
    </w:rPr>
  </w:style>
  <w:style w:type="character" w:customStyle="1" w:styleId="193">
    <w:name w:val="标准文件_来源"/>
    <w:basedOn w:val="30"/>
    <w:qFormat/>
    <w:uiPriority w:val="1"/>
    <w:rPr>
      <w:rFonts w:eastAsia="宋体"/>
      <w:sz w:val="21"/>
    </w:rPr>
  </w:style>
  <w:style w:type="paragraph" w:customStyle="1" w:styleId="194">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5">
    <w:name w:val="其他发布日期"/>
    <w:basedOn w:val="122"/>
    <w:qFormat/>
    <w:uiPriority w:val="0"/>
    <w:pPr>
      <w:framePr w:w="3997" w:h="471" w:hRule="exact" w:hSpace="0" w:vSpace="181" w:wrap="around" w:vAnchor="page" w:hAnchor="page" w:x="1419" w:y="14097"/>
    </w:pPr>
  </w:style>
  <w:style w:type="paragraph" w:customStyle="1" w:styleId="196">
    <w:name w:val="其他实施日期"/>
    <w:basedOn w:val="156"/>
    <w:qFormat/>
    <w:uiPriority w:val="0"/>
    <w:pPr>
      <w:framePr w:w="3997" w:h="471" w:hRule="exact" w:vSpace="181" w:wrap="around" w:vAnchor="page" w:hAnchor="page" w:x="7089" w:y="14097"/>
    </w:pPr>
  </w:style>
  <w:style w:type="paragraph" w:customStyle="1" w:styleId="197">
    <w:name w:val="标准文件_文件编号"/>
    <w:basedOn w:val="58"/>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8">
    <w:name w:val="标准文件_替换文件编号"/>
    <w:basedOn w:val="197"/>
    <w:qFormat/>
    <w:uiPriority w:val="0"/>
    <w:pPr>
      <w:spacing w:before="57"/>
    </w:pPr>
    <w:rPr>
      <w:sz w:val="21"/>
    </w:rPr>
  </w:style>
  <w:style w:type="paragraph" w:customStyle="1" w:styleId="199">
    <w:name w:val="标准文件_文件名称"/>
    <w:basedOn w:val="58"/>
    <w:next w:val="58"/>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0">
    <w:name w:val="标准文件_附录图标号"/>
    <w:basedOn w:val="58"/>
    <w:next w:val="58"/>
    <w:qFormat/>
    <w:uiPriority w:val="99"/>
    <w:pPr>
      <w:numPr>
        <w:ilvl w:val="0"/>
        <w:numId w:val="6"/>
      </w:numPr>
      <w:spacing w:line="14" w:lineRule="exact"/>
      <w:ind w:firstLine="0" w:firstLineChars="0"/>
      <w:jc w:val="center"/>
    </w:pPr>
    <w:rPr>
      <w:rFonts w:ascii="黑体" w:hAnsi="黑体" w:eastAsia="黑体"/>
      <w:vanish/>
      <w:sz w:val="2"/>
      <w:szCs w:val="21"/>
    </w:rPr>
  </w:style>
  <w:style w:type="paragraph" w:customStyle="1" w:styleId="201">
    <w:name w:val="标准文件_附录表标号"/>
    <w:basedOn w:val="58"/>
    <w:next w:val="58"/>
    <w:qFormat/>
    <w:uiPriority w:val="0"/>
    <w:pPr>
      <w:numPr>
        <w:ilvl w:val="0"/>
        <w:numId w:val="5"/>
      </w:numPr>
      <w:spacing w:line="14" w:lineRule="exact"/>
      <w:ind w:firstLine="0" w:firstLineChars="0"/>
      <w:jc w:val="center"/>
    </w:pPr>
    <w:rPr>
      <w:rFonts w:eastAsia="黑体"/>
      <w:vanish/>
      <w:sz w:val="2"/>
    </w:rPr>
  </w:style>
  <w:style w:type="paragraph" w:customStyle="1" w:styleId="202">
    <w:name w:val="标准文件_引言一级条标题"/>
    <w:basedOn w:val="58"/>
    <w:next w:val="58"/>
    <w:qFormat/>
    <w:uiPriority w:val="0"/>
    <w:pPr>
      <w:numPr>
        <w:ilvl w:val="1"/>
        <w:numId w:val="8"/>
      </w:numPr>
      <w:spacing w:before="50" w:beforeLines="50" w:after="50" w:afterLines="50"/>
      <w:ind w:firstLineChars="0"/>
    </w:pPr>
    <w:rPr>
      <w:rFonts w:ascii="黑体" w:eastAsia="黑体"/>
    </w:rPr>
  </w:style>
  <w:style w:type="paragraph" w:customStyle="1" w:styleId="203">
    <w:name w:val="标准文件_引言二级条标题"/>
    <w:basedOn w:val="58"/>
    <w:next w:val="58"/>
    <w:qFormat/>
    <w:uiPriority w:val="0"/>
    <w:pPr>
      <w:numPr>
        <w:ilvl w:val="2"/>
        <w:numId w:val="8"/>
      </w:numPr>
      <w:spacing w:before="50" w:beforeLines="50" w:after="50" w:afterLines="50"/>
      <w:ind w:firstLineChars="0"/>
    </w:pPr>
    <w:rPr>
      <w:rFonts w:ascii="黑体" w:eastAsia="黑体"/>
    </w:rPr>
  </w:style>
  <w:style w:type="paragraph" w:customStyle="1" w:styleId="204">
    <w:name w:val="标准文件_引言三级条标题"/>
    <w:basedOn w:val="58"/>
    <w:next w:val="58"/>
    <w:qFormat/>
    <w:uiPriority w:val="0"/>
    <w:pPr>
      <w:numPr>
        <w:ilvl w:val="3"/>
        <w:numId w:val="8"/>
      </w:numPr>
      <w:spacing w:before="50" w:beforeLines="50" w:after="50" w:afterLines="50"/>
      <w:ind w:firstLineChars="0"/>
    </w:pPr>
    <w:rPr>
      <w:rFonts w:ascii="黑体" w:eastAsia="黑体"/>
    </w:rPr>
  </w:style>
  <w:style w:type="paragraph" w:customStyle="1" w:styleId="205">
    <w:name w:val="标准文件_引言四级条标题"/>
    <w:basedOn w:val="58"/>
    <w:next w:val="58"/>
    <w:qFormat/>
    <w:uiPriority w:val="0"/>
    <w:pPr>
      <w:numPr>
        <w:ilvl w:val="4"/>
        <w:numId w:val="8"/>
      </w:numPr>
      <w:spacing w:before="50" w:beforeLines="50" w:after="50" w:afterLines="50"/>
      <w:ind w:firstLineChars="0"/>
    </w:pPr>
    <w:rPr>
      <w:rFonts w:ascii="黑体" w:eastAsia="黑体"/>
    </w:rPr>
  </w:style>
  <w:style w:type="paragraph" w:customStyle="1" w:styleId="206">
    <w:name w:val="标准文件_引言五级条标题"/>
    <w:basedOn w:val="58"/>
    <w:next w:val="58"/>
    <w:qFormat/>
    <w:uiPriority w:val="0"/>
    <w:pPr>
      <w:numPr>
        <w:ilvl w:val="5"/>
        <w:numId w:val="8"/>
      </w:numPr>
      <w:spacing w:before="50" w:beforeLines="50" w:after="50" w:afterLines="50"/>
      <w:ind w:firstLineChars="0"/>
    </w:pPr>
    <w:rPr>
      <w:rFonts w:ascii="黑体" w:eastAsia="黑体"/>
    </w:rPr>
  </w:style>
  <w:style w:type="paragraph" w:customStyle="1" w:styleId="207">
    <w:name w:val="标准文件_注后"/>
    <w:basedOn w:val="58"/>
    <w:qFormat/>
    <w:uiPriority w:val="0"/>
    <w:pPr>
      <w:ind w:left="811" w:firstLine="0" w:firstLineChars="0"/>
    </w:pPr>
    <w:rPr>
      <w:sz w:val="18"/>
    </w:rPr>
  </w:style>
  <w:style w:type="paragraph" w:customStyle="1" w:styleId="208">
    <w:name w:val="标准文件_注X后"/>
    <w:basedOn w:val="58"/>
    <w:qFormat/>
    <w:uiPriority w:val="0"/>
    <w:pPr>
      <w:ind w:left="811" w:firstLine="0" w:firstLineChars="0"/>
    </w:pPr>
    <w:rPr>
      <w:sz w:val="18"/>
    </w:rPr>
  </w:style>
  <w:style w:type="paragraph" w:customStyle="1" w:styleId="209">
    <w:name w:val="标准文件_示例后"/>
    <w:basedOn w:val="58"/>
    <w:qFormat/>
    <w:uiPriority w:val="0"/>
    <w:pPr>
      <w:ind w:left="964" w:firstLine="0" w:firstLineChars="0"/>
    </w:pPr>
    <w:rPr>
      <w:sz w:val="18"/>
    </w:rPr>
  </w:style>
  <w:style w:type="paragraph" w:customStyle="1" w:styleId="210">
    <w:name w:val="标准文件_示例X后"/>
    <w:basedOn w:val="58"/>
    <w:link w:val="211"/>
    <w:qFormat/>
    <w:uiPriority w:val="0"/>
    <w:pPr>
      <w:ind w:left="1049" w:firstLine="0" w:firstLineChars="0"/>
    </w:pPr>
    <w:rPr>
      <w:sz w:val="18"/>
    </w:rPr>
  </w:style>
  <w:style w:type="character" w:customStyle="1" w:styleId="211">
    <w:name w:val="标准文件_示例X后 字符"/>
    <w:basedOn w:val="186"/>
    <w:link w:val="210"/>
    <w:qFormat/>
    <w:uiPriority w:val="0"/>
    <w:rPr>
      <w:rFonts w:ascii="宋体" w:hAnsi="Times New Roman"/>
      <w:sz w:val="18"/>
    </w:rPr>
  </w:style>
  <w:style w:type="paragraph" w:customStyle="1" w:styleId="212">
    <w:name w:val="标准文件_索引项"/>
    <w:basedOn w:val="58"/>
    <w:next w:val="58"/>
    <w:qFormat/>
    <w:uiPriority w:val="0"/>
    <w:pPr>
      <w:tabs>
        <w:tab w:val="right" w:leader="dot" w:pos="9356"/>
      </w:tabs>
      <w:ind w:left="210" w:hanging="210" w:firstLineChars="0"/>
      <w:jc w:val="left"/>
    </w:pPr>
  </w:style>
  <w:style w:type="paragraph" w:customStyle="1" w:styleId="213">
    <w:name w:val="标准文件_附录一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二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三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四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五级无标题"/>
    <w:basedOn w:val="86"/>
    <w:qFormat/>
    <w:uiPriority w:val="0"/>
    <w:pPr>
      <w:spacing w:before="0" w:beforeLines="0" w:after="0" w:afterLines="0" w:line="276" w:lineRule="auto"/>
      <w:outlineLvl w:val="9"/>
    </w:pPr>
    <w:rPr>
      <w:rFonts w:ascii="宋体" w:eastAsia="宋体"/>
    </w:rPr>
  </w:style>
  <w:style w:type="paragraph" w:customStyle="1" w:styleId="218">
    <w:name w:val="标准文件_引言一级无标题"/>
    <w:basedOn w:val="202"/>
    <w:next w:val="58"/>
    <w:qFormat/>
    <w:uiPriority w:val="0"/>
    <w:pPr>
      <w:spacing w:before="0" w:beforeLines="0" w:after="0" w:afterLines="0" w:line="276" w:lineRule="auto"/>
    </w:pPr>
    <w:rPr>
      <w:rFonts w:ascii="宋体" w:eastAsia="宋体"/>
    </w:rPr>
  </w:style>
  <w:style w:type="paragraph" w:customStyle="1" w:styleId="219">
    <w:name w:val="标准文件_引言二级无标题"/>
    <w:basedOn w:val="203"/>
    <w:next w:val="58"/>
    <w:qFormat/>
    <w:uiPriority w:val="0"/>
    <w:pPr>
      <w:spacing w:before="0" w:beforeLines="0" w:after="0" w:afterLines="0" w:line="276" w:lineRule="auto"/>
    </w:pPr>
    <w:rPr>
      <w:rFonts w:ascii="宋体" w:eastAsia="宋体"/>
    </w:rPr>
  </w:style>
  <w:style w:type="paragraph" w:customStyle="1" w:styleId="220">
    <w:name w:val="标准文件_引言三级无标题"/>
    <w:basedOn w:val="204"/>
    <w:qFormat/>
    <w:uiPriority w:val="0"/>
    <w:pPr>
      <w:spacing w:before="0" w:beforeLines="0" w:after="0" w:afterLines="0" w:line="276" w:lineRule="auto"/>
    </w:pPr>
    <w:rPr>
      <w:rFonts w:ascii="宋体" w:eastAsia="宋体"/>
    </w:rPr>
  </w:style>
  <w:style w:type="paragraph" w:customStyle="1" w:styleId="221">
    <w:name w:val="标准文件_引言四级无标题"/>
    <w:basedOn w:val="205"/>
    <w:next w:val="58"/>
    <w:qFormat/>
    <w:uiPriority w:val="0"/>
    <w:pPr>
      <w:spacing w:before="0" w:beforeLines="0" w:after="0" w:afterLines="0" w:line="276" w:lineRule="auto"/>
    </w:pPr>
    <w:rPr>
      <w:rFonts w:ascii="宋体" w:eastAsia="宋体"/>
    </w:rPr>
  </w:style>
  <w:style w:type="paragraph" w:customStyle="1" w:styleId="222">
    <w:name w:val="标准文件_引言五级无标题"/>
    <w:basedOn w:val="206"/>
    <w:next w:val="58"/>
    <w:qFormat/>
    <w:uiPriority w:val="0"/>
    <w:pPr>
      <w:spacing w:before="0" w:beforeLines="0" w:after="0" w:afterLines="0" w:line="276" w:lineRule="auto"/>
    </w:pPr>
    <w:rPr>
      <w:rFonts w:ascii="宋体" w:eastAsia="宋体"/>
    </w:rPr>
  </w:style>
  <w:style w:type="paragraph" w:customStyle="1" w:styleId="223">
    <w:name w:val="标准文件_索引标题"/>
    <w:basedOn w:val="65"/>
    <w:next w:val="58"/>
    <w:qFormat/>
    <w:uiPriority w:val="0"/>
    <w:rPr>
      <w:rFonts w:hAnsi="黑体"/>
    </w:rPr>
  </w:style>
  <w:style w:type="paragraph" w:customStyle="1" w:styleId="224">
    <w:name w:val="标准文件_脚注内容"/>
    <w:basedOn w:val="58"/>
    <w:qFormat/>
    <w:uiPriority w:val="0"/>
    <w:pPr>
      <w:ind w:left="400" w:leftChars="200" w:hanging="200" w:hangingChars="200"/>
    </w:pPr>
    <w:rPr>
      <w:sz w:val="15"/>
    </w:rPr>
  </w:style>
  <w:style w:type="paragraph" w:customStyle="1" w:styleId="225">
    <w:name w:val="标准文件_术语条一"/>
    <w:basedOn w:val="164"/>
    <w:next w:val="58"/>
    <w:qFormat/>
    <w:uiPriority w:val="99"/>
  </w:style>
  <w:style w:type="paragraph" w:customStyle="1" w:styleId="226">
    <w:name w:val="标准文件_术语条二"/>
    <w:basedOn w:val="167"/>
    <w:next w:val="58"/>
    <w:qFormat/>
    <w:uiPriority w:val="0"/>
  </w:style>
  <w:style w:type="paragraph" w:customStyle="1" w:styleId="227">
    <w:name w:val="标准文件_术语条三"/>
    <w:basedOn w:val="166"/>
    <w:next w:val="58"/>
    <w:qFormat/>
    <w:uiPriority w:val="0"/>
  </w:style>
  <w:style w:type="paragraph" w:customStyle="1" w:styleId="228">
    <w:name w:val="标准文件_术语条四"/>
    <w:basedOn w:val="169"/>
    <w:next w:val="58"/>
    <w:qFormat/>
    <w:uiPriority w:val="0"/>
  </w:style>
  <w:style w:type="paragraph" w:customStyle="1" w:styleId="229">
    <w:name w:val="标准文件_术语条五"/>
    <w:basedOn w:val="165"/>
    <w:next w:val="58"/>
    <w:qFormat/>
    <w:uiPriority w:val="0"/>
  </w:style>
  <w:style w:type="paragraph" w:customStyle="1" w:styleId="230">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1">
    <w:name w:val="发布"/>
    <w:basedOn w:val="30"/>
    <w:qFormat/>
    <w:uiPriority w:val="0"/>
    <w:rPr>
      <w:rFonts w:ascii="黑体" w:eastAsia="黑体"/>
      <w:spacing w:val="85"/>
      <w:w w:val="100"/>
      <w:position w:val="3"/>
      <w:sz w:val="28"/>
      <w:szCs w:val="28"/>
    </w:rPr>
  </w:style>
  <w:style w:type="character" w:customStyle="1" w:styleId="232">
    <w:name w:val="段 Char"/>
    <w:link w:val="233"/>
    <w:qFormat/>
    <w:locked/>
    <w:uiPriority w:val="99"/>
    <w:rPr>
      <w:rFonts w:ascii="宋体" w:hAnsi="宋体" w:cs="宋体"/>
      <w:kern w:val="2"/>
      <w:sz w:val="22"/>
      <w:szCs w:val="22"/>
    </w:rPr>
  </w:style>
  <w:style w:type="paragraph" w:customStyle="1" w:styleId="233">
    <w:name w:val="段"/>
    <w:link w:val="232"/>
    <w:qFormat/>
    <w:uiPriority w:val="99"/>
    <w:pPr>
      <w:tabs>
        <w:tab w:val="center" w:pos="4201"/>
        <w:tab w:val="right" w:leader="dot" w:pos="9298"/>
      </w:tabs>
      <w:autoSpaceDE w:val="0"/>
      <w:autoSpaceDN w:val="0"/>
      <w:ind w:firstLine="420" w:firstLineChars="200"/>
      <w:jc w:val="both"/>
    </w:pPr>
    <w:rPr>
      <w:rFonts w:ascii="宋体" w:hAnsi="宋体" w:eastAsia="宋体" w:cs="宋体"/>
      <w:kern w:val="2"/>
      <w:sz w:val="22"/>
      <w:szCs w:val="22"/>
      <w:lang w:val="en-US" w:eastAsia="zh-CN" w:bidi="ar-SA"/>
    </w:rPr>
  </w:style>
  <w:style w:type="paragraph" w:customStyle="1" w:styleId="234">
    <w:name w:val="字母编号列项（一级）"/>
    <w:qFormat/>
    <w:uiPriority w:val="99"/>
    <w:pPr>
      <w:tabs>
        <w:tab w:val="left" w:pos="851"/>
      </w:tabs>
      <w:ind w:left="851" w:hanging="426"/>
      <w:jc w:val="both"/>
    </w:pPr>
    <w:rPr>
      <w:rFonts w:ascii="宋体" w:hAnsi="Times New Roman" w:eastAsia="宋体" w:cs="宋体"/>
      <w:sz w:val="21"/>
      <w:szCs w:val="21"/>
      <w:lang w:val="en-US" w:eastAsia="zh-CN" w:bidi="ar-SA"/>
    </w:rPr>
  </w:style>
  <w:style w:type="paragraph" w:customStyle="1" w:styleId="235">
    <w:name w:val="二级无"/>
    <w:basedOn w:val="1"/>
    <w:qFormat/>
    <w:uiPriority w:val="99"/>
    <w:pPr>
      <w:widowControl/>
      <w:adjustRightInd/>
      <w:spacing w:line="240" w:lineRule="auto"/>
      <w:jc w:val="left"/>
      <w:outlineLvl w:val="3"/>
    </w:pPr>
    <w:rPr>
      <w:rFonts w:ascii="宋体" w:hAnsi="Times New Roman" w:cs="宋体"/>
      <w:kern w:val="0"/>
    </w:rPr>
  </w:style>
  <w:style w:type="paragraph" w:customStyle="1" w:styleId="236">
    <w:name w:val="一级条标题"/>
    <w:next w:val="233"/>
    <w:qFormat/>
    <w:uiPriority w:val="0"/>
    <w:pPr>
      <w:spacing w:beforeLines="50" w:afterLines="50"/>
      <w:outlineLvl w:val="2"/>
    </w:pPr>
    <w:rPr>
      <w:rFonts w:ascii="黑体" w:hAnsi="Times New Roman" w:eastAsia="黑体" w:cs="Times New Roman"/>
      <w:sz w:val="21"/>
      <w:szCs w:val="21"/>
      <w:lang w:val="en-US" w:eastAsia="zh-CN" w:bidi="ar-SA"/>
    </w:rPr>
  </w:style>
  <w:style w:type="paragraph" w:customStyle="1" w:styleId="237">
    <w:name w:val="章标题"/>
    <w:next w:val="233"/>
    <w:qFormat/>
    <w:uiPriority w:val="0"/>
    <w:pPr>
      <w:numPr>
        <w:ilvl w:val="1"/>
        <w:numId w:val="32"/>
      </w:numPr>
      <w:tabs>
        <w:tab w:val="left" w:pos="360"/>
      </w:tabs>
      <w:spacing w:before="156" w:beforeLines="50" w:after="156" w:afterLines="50"/>
      <w:jc w:val="both"/>
      <w:outlineLvl w:val="1"/>
    </w:pPr>
    <w:rPr>
      <w:rFonts w:ascii="黑体" w:hAnsi="Times New Roman" w:eastAsia="黑体" w:cs="Times New Roman"/>
      <w:sz w:val="21"/>
      <w:lang w:val="en-US" w:eastAsia="zh-CN" w:bidi="ar-SA"/>
    </w:rPr>
  </w:style>
  <w:style w:type="character" w:customStyle="1" w:styleId="238">
    <w:name w:val="font11"/>
    <w:basedOn w:val="30"/>
    <w:qFormat/>
    <w:uiPriority w:val="0"/>
    <w:rPr>
      <w:rFonts w:ascii="宋体" w:hAnsi="宋体" w:eastAsia="宋体" w:cs="宋体"/>
      <w:color w:val="000000"/>
      <w:sz w:val="36"/>
      <w:szCs w:val="36"/>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8" Type="http://schemas.openxmlformats.org/officeDocument/2006/relationships/glossaryDocument" Target="glossary/document.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jpeg"/><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jpeg"/><Relationship Id="rId27" Type="http://schemas.openxmlformats.org/officeDocument/2006/relationships/image" Target="media/image13.png"/><Relationship Id="rId26" Type="http://schemas.openxmlformats.org/officeDocument/2006/relationships/image" Target="media/image12.jpeg"/><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pn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jpeg"/><Relationship Id="rId15" Type="http://schemas.openxmlformats.org/officeDocument/2006/relationships/image" Target="media/image1.tiff"/><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7d12f8d2-8d8e-49e7-a99c-1d215ccb848c}"/>
        <w:style w:val=""/>
        <w:category>
          <w:name w:val="常规"/>
          <w:gallery w:val="placeholder"/>
        </w:category>
        <w:types>
          <w:type w:val="bbPlcHdr"/>
        </w:types>
        <w:behaviors>
          <w:behavior w:val="content"/>
        </w:behaviors>
        <w:description w:val=""/>
        <w:guid w:val="{7D12F8D2-8D8E-49E7-A99C-1D215CCB848C}"/>
      </w:docPartPr>
      <w:docPartBody>
        <w:p w14:paraId="5E633E39">
          <w:pPr>
            <w:pStyle w:val="5"/>
          </w:pPr>
          <w:r>
            <w:rPr>
              <w:rStyle w:val="4"/>
              <w:rFonts w:hint="eastAsia"/>
            </w:rPr>
            <w:t>单击或点击此处输入文字。</w:t>
          </w:r>
        </w:p>
      </w:docPartBody>
    </w:docPart>
    <w:docPart>
      <w:docPartPr>
        <w:name w:val="{1a647cf3-6fca-4586-9226-9a7109244fa5}"/>
        <w:style w:val=""/>
        <w:category>
          <w:name w:val="常规"/>
          <w:gallery w:val="placeholder"/>
        </w:category>
        <w:types>
          <w:type w:val="bbPlcHdr"/>
        </w:types>
        <w:behaviors>
          <w:behavior w:val="content"/>
        </w:behaviors>
        <w:description w:val=""/>
        <w:guid w:val="{1A647CF3-6FCA-4586-9226-9A7109244FA5}"/>
      </w:docPartPr>
      <w:docPartBody>
        <w:p w14:paraId="615C394C">
          <w:pPr>
            <w:pStyle w:val="5"/>
          </w:pPr>
          <w:r>
            <w:rPr>
              <w:rStyle w:val="4"/>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3247"/>
    <w:rsid w:val="00171C7D"/>
    <w:rsid w:val="003A76E8"/>
    <w:rsid w:val="00493F3B"/>
    <w:rsid w:val="005A529C"/>
    <w:rsid w:val="00AB5A75"/>
    <w:rsid w:val="00B33247"/>
    <w:rsid w:val="00F158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7A6F49000F8A457893B86AFC6FB8C92D"/>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E642348-9CB7-424E-843C-5216954064F1}">
  <ds:schemaRefs/>
</ds:datastoreItem>
</file>

<file path=docProps/app.xml><?xml version="1.0" encoding="utf-8"?>
<Properties xmlns="http://schemas.openxmlformats.org/officeDocument/2006/extended-properties" xmlns:vt="http://schemas.openxmlformats.org/officeDocument/2006/docPropsVTypes">
  <Template>Normal.dotm</Template>
  <Company>PCMI</Company>
  <Pages>28</Pages>
  <Words>7826</Words>
  <Characters>9259</Characters>
  <Lines>182</Lines>
  <Paragraphs>51</Paragraphs>
  <TotalTime>40</TotalTime>
  <ScaleCrop>false</ScaleCrop>
  <LinksUpToDate>false</LinksUpToDate>
  <CharactersWithSpaces>9996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2023-09-20T11:48:00Z</dcterms:created>
  <dc:creator>Administrator</dc:creator>
  <dc:description>&lt;config cover="true" show_menu="true" version="1.0.0" doctype="SDKXY"&gt;_x000d_
&lt;/config&gt;</dc:description>
  <cp:lastModifiedBy>佳音</cp:lastModifiedBy>
  <cp:lastPrinted>2025-11-10T08:14:00Z</cp:lastPrinted>
  <dcterms:modified xsi:type="dcterms:W3CDTF">2025-11-21T09:30:55Z</dcterms:modified>
  <dc:title>地方标准</dc:title>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2052-12.1.0.23542</vt:lpwstr>
  </property>
  <property fmtid="{D5CDD505-2E9C-101B-9397-08002B2CF9AE}" pid="15" name="ICV">
    <vt:lpwstr>5F45066FE25845CA8A950B348E668BFB_13</vt:lpwstr>
  </property>
  <property fmtid="{D5CDD505-2E9C-101B-9397-08002B2CF9AE}" pid="16" name="KSOTemplateDocerSaveRecord">
    <vt:lpwstr>eyJoZGlkIjoiYTkyZWJhZWRkMzI4ZmEyMTQzZTViN2Y2Yzk2MDkzOTUiLCJ1c2VySWQiOiIyOTQ4MjA0MzEifQ==</vt:lpwstr>
  </property>
</Properties>
</file>